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EastAsia" w:hAnsiTheme="minorEastAsia" w:eastAsiaTheme="minorEastAsia"/>
          <w:b/>
          <w:sz w:val="36"/>
          <w:szCs w:val="36"/>
          <w:lang w:val="en-US" w:eastAsia="zh-CN"/>
        </w:rPr>
      </w:pPr>
      <w:r>
        <w:rPr>
          <w:rFonts w:hint="eastAsia" w:asciiTheme="minorEastAsia" w:hAnsiTheme="minorEastAsia"/>
          <w:b/>
          <w:sz w:val="36"/>
          <w:szCs w:val="36"/>
        </w:rPr>
        <w:t>病理会诊平台系统项目采购需求</w:t>
      </w:r>
      <w:r>
        <w:rPr>
          <w:rFonts w:hint="eastAsia" w:asciiTheme="minorEastAsia" w:hAnsiTheme="minorEastAsia"/>
          <w:b/>
          <w:sz w:val="36"/>
          <w:szCs w:val="36"/>
          <w:lang w:val="en-US" w:eastAsia="zh-CN"/>
        </w:rPr>
        <w:t>清单及报价模板</w:t>
      </w:r>
    </w:p>
    <w:tbl>
      <w:tblPr>
        <w:tblStyle w:val="6"/>
        <w:tblW w:w="10632" w:type="dxa"/>
        <w:jc w:val="center"/>
        <w:tblCellSpacing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891"/>
        <w:gridCol w:w="974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891"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eastAsia="宋体" w:cs="宋体"/>
                <w:kern w:val="0"/>
                <w:sz w:val="20"/>
                <w:szCs w:val="20"/>
              </w:rPr>
            </w:pPr>
            <w:r>
              <w:rPr>
                <w:rFonts w:ascii="宋体" w:hAnsi="宋体" w:eastAsia="宋体" w:cs="宋体"/>
                <w:b/>
                <w:bCs/>
                <w:kern w:val="0"/>
                <w:sz w:val="20"/>
                <w:szCs w:val="20"/>
              </w:rPr>
              <w:t>项目名称</w:t>
            </w:r>
          </w:p>
        </w:tc>
        <w:tc>
          <w:tcPr>
            <w:tcW w:w="9741" w:type="dxa"/>
            <w:tcBorders>
              <w:top w:val="single" w:color="auto" w:sz="6" w:space="0"/>
              <w:left w:val="single" w:color="auto" w:sz="6" w:space="0"/>
              <w:bottom w:val="nil"/>
              <w:right w:val="nil"/>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病理会诊平台系统项目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891"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eastAsia="宋体" w:cs="宋体"/>
                <w:kern w:val="0"/>
                <w:sz w:val="20"/>
                <w:szCs w:val="20"/>
              </w:rPr>
            </w:pPr>
            <w:r>
              <w:rPr>
                <w:rFonts w:ascii="宋体" w:hAnsi="宋体" w:eastAsia="宋体" w:cs="宋体"/>
                <w:b/>
                <w:bCs/>
                <w:kern w:val="0"/>
                <w:sz w:val="20"/>
                <w:szCs w:val="20"/>
              </w:rPr>
              <w:t>技术要求</w:t>
            </w:r>
          </w:p>
        </w:tc>
        <w:tc>
          <w:tcPr>
            <w:tcW w:w="9741" w:type="dxa"/>
            <w:tcBorders>
              <w:top w:val="single" w:color="auto" w:sz="6" w:space="0"/>
              <w:left w:val="single" w:color="auto" w:sz="6" w:space="0"/>
              <w:bottom w:val="nil"/>
              <w:right w:val="nil"/>
            </w:tcBorders>
            <w:vAlign w:val="center"/>
          </w:tcPr>
          <w:p>
            <w:pPr>
              <w:rPr>
                <w:rFonts w:ascii="宋体" w:hAnsi="宋体" w:eastAsia="宋体" w:cs="宋体"/>
                <w:b/>
                <w:kern w:val="0"/>
                <w:sz w:val="22"/>
              </w:rPr>
            </w:pPr>
            <w:r>
              <w:rPr>
                <w:rFonts w:hint="eastAsia" w:ascii="宋体" w:hAnsi="宋体" w:eastAsia="宋体" w:cs="宋体"/>
                <w:b/>
                <w:kern w:val="0"/>
                <w:sz w:val="22"/>
              </w:rPr>
              <w:t>1、病理会诊平台系统技术要求：</w:t>
            </w:r>
          </w:p>
          <w:tbl>
            <w:tblPr>
              <w:tblStyle w:val="6"/>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22"/>
              <w:gridCol w:w="5711"/>
              <w:gridCol w:w="82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16" w:type="dxa"/>
                  <w:tcBorders>
                    <w:bottom w:val="single" w:color="auto" w:sz="4" w:space="0"/>
                  </w:tcBorders>
                  <w:shd w:val="clear" w:color="auto" w:fill="FFFFFF"/>
                  <w:vAlign w:val="center"/>
                </w:tcPr>
                <w:p>
                  <w:pPr>
                    <w:jc w:val="center"/>
                    <w:rPr>
                      <w:rFonts w:ascii="宋体" w:hAnsi="宋体" w:eastAsia="宋体"/>
                      <w:b/>
                      <w:bCs/>
                      <w:szCs w:val="21"/>
                    </w:rPr>
                  </w:pPr>
                  <w:r>
                    <w:rPr>
                      <w:rFonts w:hint="eastAsia" w:ascii="宋体" w:hAnsi="宋体" w:eastAsia="宋体"/>
                      <w:b/>
                      <w:bCs/>
                      <w:szCs w:val="21"/>
                    </w:rPr>
                    <w:t>站点模块</w:t>
                  </w:r>
                </w:p>
              </w:tc>
              <w:tc>
                <w:tcPr>
                  <w:tcW w:w="1222" w:type="dxa"/>
                  <w:tcBorders>
                    <w:bottom w:val="single" w:color="auto" w:sz="4" w:space="0"/>
                  </w:tcBorders>
                  <w:shd w:val="clear" w:color="auto" w:fill="FFFFFF"/>
                  <w:vAlign w:val="center"/>
                </w:tcPr>
                <w:p>
                  <w:pPr>
                    <w:jc w:val="center"/>
                    <w:rPr>
                      <w:rFonts w:ascii="宋体" w:hAnsi="宋体" w:eastAsia="宋体"/>
                      <w:b/>
                      <w:bCs/>
                      <w:szCs w:val="21"/>
                    </w:rPr>
                  </w:pPr>
                  <w:r>
                    <w:rPr>
                      <w:rFonts w:hint="eastAsia" w:ascii="宋体" w:hAnsi="宋体" w:eastAsia="宋体"/>
                      <w:b/>
                      <w:bCs/>
                      <w:szCs w:val="21"/>
                    </w:rPr>
                    <w:t>类目明细</w:t>
                  </w:r>
                </w:p>
              </w:tc>
              <w:tc>
                <w:tcPr>
                  <w:tcW w:w="5711" w:type="dxa"/>
                  <w:tcBorders>
                    <w:bottom w:val="single" w:color="auto" w:sz="4" w:space="0"/>
                  </w:tcBorders>
                  <w:shd w:val="clear" w:color="auto" w:fill="FFFFFF"/>
                  <w:vAlign w:val="center"/>
                </w:tcPr>
                <w:p>
                  <w:pPr>
                    <w:jc w:val="center"/>
                    <w:rPr>
                      <w:rFonts w:ascii="宋体" w:hAnsi="宋体" w:eastAsia="宋体"/>
                      <w:b/>
                      <w:bCs/>
                      <w:szCs w:val="21"/>
                    </w:rPr>
                  </w:pPr>
                  <w:r>
                    <w:rPr>
                      <w:rFonts w:hint="eastAsia" w:ascii="宋体" w:hAnsi="宋体" w:eastAsia="宋体"/>
                      <w:b/>
                      <w:bCs/>
                      <w:szCs w:val="21"/>
                    </w:rPr>
                    <w:t>说明</w:t>
                  </w:r>
                </w:p>
              </w:tc>
              <w:tc>
                <w:tcPr>
                  <w:tcW w:w="825" w:type="dxa"/>
                  <w:tcBorders>
                    <w:bottom w:val="single" w:color="auto" w:sz="4" w:space="0"/>
                  </w:tcBorders>
                  <w:shd w:val="clear" w:color="auto" w:fill="FFFFFF"/>
                  <w:vAlign w:val="center"/>
                </w:tcPr>
                <w:p>
                  <w:pPr>
                    <w:jc w:val="center"/>
                    <w:rPr>
                      <w:rFonts w:ascii="宋体" w:hAnsi="宋体" w:eastAsia="宋体"/>
                      <w:b/>
                      <w:bCs/>
                      <w:szCs w:val="21"/>
                    </w:rPr>
                  </w:pPr>
                  <w:r>
                    <w:rPr>
                      <w:rFonts w:hint="eastAsia" w:ascii="宋体" w:hAnsi="宋体" w:eastAsia="宋体"/>
                      <w:b/>
                      <w:bCs/>
                      <w:szCs w:val="21"/>
                    </w:rPr>
                    <w:t>数量</w:t>
                  </w:r>
                </w:p>
              </w:tc>
              <w:tc>
                <w:tcPr>
                  <w:tcW w:w="1184" w:type="dxa"/>
                  <w:tcBorders>
                    <w:bottom w:val="single" w:color="auto" w:sz="4" w:space="0"/>
                  </w:tcBorders>
                  <w:shd w:val="clear" w:color="auto" w:fill="FFFFFF"/>
                  <w:vAlign w:val="center"/>
                </w:tcPr>
                <w:p>
                  <w:pPr>
                    <w:jc w:val="center"/>
                    <w:rPr>
                      <w:rFonts w:hint="eastAsia" w:ascii="宋体" w:hAnsi="宋体" w:eastAsia="宋体"/>
                      <w:b/>
                      <w:bCs/>
                      <w:color w:val="FF0000"/>
                      <w:szCs w:val="21"/>
                      <w:lang w:val="en-US" w:eastAsia="zh-CN"/>
                    </w:rPr>
                  </w:pPr>
                  <w:r>
                    <w:rPr>
                      <w:rFonts w:hint="eastAsia" w:ascii="宋体" w:hAnsi="宋体" w:eastAsia="宋体"/>
                      <w:b/>
                      <w:bCs/>
                      <w:color w:val="FF0000"/>
                      <w:szCs w:val="21"/>
                      <w:lang w:val="en-US" w:eastAsia="zh-CN"/>
                    </w:rPr>
                    <w:t>报价</w:t>
                  </w:r>
                </w:p>
                <w:p>
                  <w:pPr>
                    <w:jc w:val="center"/>
                    <w:rPr>
                      <w:rFonts w:hint="eastAsia" w:ascii="宋体" w:hAnsi="宋体" w:eastAsia="宋体"/>
                      <w:b/>
                      <w:bCs/>
                      <w:szCs w:val="21"/>
                      <w:lang w:val="en-US" w:eastAsia="zh-CN"/>
                    </w:rPr>
                  </w:pPr>
                  <w:r>
                    <w:rPr>
                      <w:rFonts w:hint="eastAsia" w:ascii="宋体" w:hAnsi="宋体" w:eastAsia="宋体"/>
                      <w:b/>
                      <w:bCs/>
                      <w:color w:val="FF0000"/>
                      <w:szCs w:val="21"/>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平台管理模块</w:t>
                  </w:r>
                </w:p>
              </w:tc>
              <w:tc>
                <w:tcPr>
                  <w:tcW w:w="1222"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后台权限管理</w:t>
                  </w:r>
                </w:p>
              </w:tc>
              <w:tc>
                <w:tcPr>
                  <w:tcW w:w="5711" w:type="dxa"/>
                  <w:shd w:val="clear" w:color="auto" w:fill="D7D7D7" w:themeFill="background1" w:themeFillShade="D8"/>
                  <w:vAlign w:val="center"/>
                </w:tcPr>
                <w:p>
                  <w:pPr>
                    <w:pStyle w:val="15"/>
                    <w:numPr>
                      <w:ilvl w:val="0"/>
                      <w:numId w:val="1"/>
                    </w:numPr>
                    <w:ind w:left="0" w:firstLine="0" w:firstLineChars="0"/>
                    <w:rPr>
                      <w:rFonts w:ascii="宋体" w:hAnsi="宋体" w:eastAsia="宋体"/>
                      <w:szCs w:val="21"/>
                    </w:rPr>
                  </w:pPr>
                  <w:r>
                    <w:rPr>
                      <w:rFonts w:hint="eastAsia" w:ascii="宋体" w:hAnsi="宋体" w:eastAsia="宋体"/>
                      <w:szCs w:val="21"/>
                    </w:rPr>
                    <w:t>用户的新增、修改、禁用、启用功能，可对不同的用户进行角色分配，还可以批量导出或导入用户数据。</w:t>
                  </w:r>
                </w:p>
              </w:tc>
              <w:tc>
                <w:tcPr>
                  <w:tcW w:w="825" w:type="dxa"/>
                  <w:vMerge w:val="restart"/>
                  <w:shd w:val="clear" w:color="auto" w:fill="D7D7D7" w:themeFill="background1" w:themeFillShade="D8"/>
                  <w:vAlign w:val="center"/>
                </w:tcPr>
                <w:p>
                  <w:pPr>
                    <w:jc w:val="center"/>
                    <w:rPr>
                      <w:rFonts w:ascii="宋体" w:hAnsi="宋体" w:eastAsia="宋体"/>
                      <w:szCs w:val="21"/>
                    </w:rPr>
                  </w:pPr>
                  <w:r>
                    <w:rPr>
                      <w:rFonts w:ascii="宋体" w:hAnsi="宋体" w:eastAsia="宋体"/>
                      <w:szCs w:val="21"/>
                    </w:rPr>
                    <w:t>1</w:t>
                  </w:r>
                  <w:r>
                    <w:rPr>
                      <w:rFonts w:hint="eastAsia" w:ascii="宋体" w:hAnsi="宋体" w:eastAsia="宋体"/>
                      <w:szCs w:val="21"/>
                    </w:rPr>
                    <w:t>套</w:t>
                  </w:r>
                </w:p>
              </w:tc>
              <w:tc>
                <w:tcPr>
                  <w:tcW w:w="1184" w:type="dxa"/>
                  <w:vMerge w:val="restart"/>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D7D7D7" w:themeFill="background1" w:themeFillShade="D8"/>
                  <w:vAlign w:val="center"/>
                </w:tcPr>
                <w:p>
                  <w:pPr>
                    <w:jc w:val="cente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1"/>
                    </w:numPr>
                    <w:ind w:left="0" w:firstLine="0" w:firstLineChars="0"/>
                    <w:rPr>
                      <w:rFonts w:ascii="宋体" w:hAnsi="宋体" w:eastAsia="宋体"/>
                      <w:szCs w:val="21"/>
                    </w:rPr>
                  </w:pPr>
                  <w:r>
                    <w:rPr>
                      <w:rFonts w:hint="eastAsia" w:ascii="宋体" w:hAnsi="宋体" w:eastAsia="宋体"/>
                      <w:szCs w:val="21"/>
                    </w:rPr>
                    <w:t>角色的新增、修改、删除及角色资源管理。</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D7D7D7" w:themeFill="background1" w:themeFillShade="D8"/>
                  <w:vAlign w:val="center"/>
                </w:tcPr>
                <w:p>
                  <w:pPr>
                    <w:jc w:val="cente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1"/>
                    </w:numPr>
                    <w:ind w:left="0" w:firstLine="0" w:firstLineChars="0"/>
                    <w:rPr>
                      <w:rFonts w:ascii="宋体" w:hAnsi="宋体" w:eastAsia="宋体"/>
                      <w:szCs w:val="21"/>
                    </w:rPr>
                  </w:pPr>
                  <w:r>
                    <w:rPr>
                      <w:rFonts w:hint="eastAsia" w:ascii="宋体" w:hAnsi="宋体" w:eastAsia="宋体"/>
                      <w:szCs w:val="21"/>
                    </w:rPr>
                    <w:t>需提供权限精细化管理功能，灵活分配每个角色的查看及操作权限。</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D7D7D7" w:themeFill="background1" w:themeFillShade="D8"/>
                  <w:vAlign w:val="center"/>
                </w:tcPr>
                <w:p>
                  <w:pPr>
                    <w:jc w:val="cente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1"/>
                    </w:numPr>
                    <w:ind w:left="0" w:firstLine="0" w:firstLineChars="0"/>
                    <w:rPr>
                      <w:rFonts w:ascii="宋体" w:hAnsi="宋体" w:eastAsia="宋体"/>
                      <w:szCs w:val="21"/>
                    </w:rPr>
                  </w:pPr>
                  <w:r>
                    <w:rPr>
                      <w:rFonts w:hint="eastAsia" w:ascii="宋体" w:hAnsi="宋体" w:eastAsia="宋体"/>
                      <w:szCs w:val="21"/>
                    </w:rPr>
                    <w:t>需提供机构维护管理及机构层级和关联关系维护管理功能。</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D7D7D7" w:themeFill="background1" w:themeFillShade="D8"/>
                  <w:vAlign w:val="center"/>
                </w:tcPr>
                <w:p>
                  <w:pPr>
                    <w:jc w:val="cente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1"/>
                    </w:numPr>
                    <w:ind w:left="0" w:firstLine="0" w:firstLineChars="0"/>
                    <w:rPr>
                      <w:rFonts w:ascii="宋体" w:hAnsi="宋体" w:eastAsia="宋体"/>
                      <w:szCs w:val="21"/>
                    </w:rPr>
                  </w:pPr>
                  <w:r>
                    <w:rPr>
                      <w:rFonts w:hint="eastAsia" w:ascii="宋体" w:hAnsi="宋体" w:eastAsia="宋体"/>
                      <w:szCs w:val="21"/>
                    </w:rPr>
                    <w:t>可设置各用户访问所属机构外数据的构独立权限，控制各用户的数据</w:t>
                  </w:r>
                  <w:bookmarkStart w:id="0" w:name="_GoBack"/>
                  <w:bookmarkEnd w:id="0"/>
                  <w:r>
                    <w:rPr>
                      <w:rFonts w:hint="eastAsia" w:ascii="宋体" w:hAnsi="宋体" w:eastAsia="宋体"/>
                      <w:szCs w:val="21"/>
                    </w:rPr>
                    <w:t>浏览范围权限，从而提供数据访问安全性管理。</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系统数据维护</w:t>
                  </w:r>
                </w:p>
              </w:tc>
              <w:tc>
                <w:tcPr>
                  <w:tcW w:w="5711" w:type="dxa"/>
                  <w:shd w:val="clear" w:color="auto" w:fill="D7D7D7" w:themeFill="background1" w:themeFillShade="D8"/>
                  <w:vAlign w:val="center"/>
                </w:tcPr>
                <w:p>
                  <w:pPr>
                    <w:pStyle w:val="15"/>
                    <w:numPr>
                      <w:ilvl w:val="0"/>
                      <w:numId w:val="2"/>
                    </w:numPr>
                    <w:ind w:left="0" w:firstLine="0" w:firstLineChars="0"/>
                    <w:rPr>
                      <w:rFonts w:ascii="宋体" w:hAnsi="宋体" w:eastAsia="宋体"/>
                      <w:szCs w:val="21"/>
                    </w:rPr>
                  </w:pPr>
                  <w:r>
                    <w:rPr>
                      <w:rFonts w:hint="eastAsia" w:ascii="宋体" w:hAnsi="宋体" w:eastAsia="宋体"/>
                      <w:szCs w:val="21"/>
                    </w:rPr>
                    <w:t>提供病理会诊平台基础字典数据维护，灵活处理会诊平台基础数据的增减和修改。</w:t>
                  </w:r>
                </w:p>
              </w:tc>
              <w:tc>
                <w:tcPr>
                  <w:tcW w:w="825" w:type="dxa"/>
                  <w:vMerge w:val="continue"/>
                  <w:shd w:val="clear" w:color="auto" w:fill="D7D7D7" w:themeFill="background1" w:themeFillShade="D8"/>
                  <w:vAlign w:val="center"/>
                </w:tcPr>
                <w:p>
                  <w:pPr>
                    <w:rPr>
                      <w:rFonts w:ascii="宋体" w:hAnsi="宋体" w:eastAsia="宋体"/>
                      <w:szCs w:val="21"/>
                    </w:rPr>
                  </w:pPr>
                </w:p>
              </w:tc>
              <w:tc>
                <w:tcPr>
                  <w:tcW w:w="1184" w:type="dxa"/>
                  <w:vMerge w:val="continue"/>
                  <w:tcBorders/>
                  <w:shd w:val="clear" w:color="auto" w:fill="D7D7D7" w:themeFill="background1" w:themeFillShade="D8"/>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2"/>
                    </w:numPr>
                    <w:ind w:left="0" w:firstLine="0" w:firstLineChars="0"/>
                    <w:rPr>
                      <w:rFonts w:ascii="宋体" w:hAnsi="宋体" w:eastAsia="宋体"/>
                      <w:szCs w:val="21"/>
                    </w:rPr>
                  </w:pPr>
                  <w:r>
                    <w:rPr>
                      <w:rFonts w:hint="eastAsia" w:ascii="宋体" w:hAnsi="宋体" w:eastAsia="宋体"/>
                      <w:szCs w:val="21"/>
                    </w:rPr>
                    <w:t>提供字典编码管理功能，灵活配置部分字典编码的生成规则。</w:t>
                  </w:r>
                </w:p>
              </w:tc>
              <w:tc>
                <w:tcPr>
                  <w:tcW w:w="825" w:type="dxa"/>
                  <w:vMerge w:val="continue"/>
                  <w:shd w:val="clear" w:color="auto" w:fill="D7D7D7" w:themeFill="background1" w:themeFillShade="D8"/>
                  <w:vAlign w:val="center"/>
                </w:tcPr>
                <w:p>
                  <w:pPr>
                    <w:rPr>
                      <w:rFonts w:ascii="宋体" w:hAnsi="宋体" w:eastAsia="宋体"/>
                      <w:szCs w:val="21"/>
                    </w:rPr>
                  </w:pPr>
                </w:p>
              </w:tc>
              <w:tc>
                <w:tcPr>
                  <w:tcW w:w="1184" w:type="dxa"/>
                  <w:vMerge w:val="continue"/>
                  <w:tcBorders/>
                  <w:shd w:val="clear" w:color="auto" w:fill="D7D7D7" w:themeFill="background1" w:themeFillShade="D8"/>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2"/>
                    </w:numPr>
                    <w:ind w:left="0" w:firstLine="0" w:firstLineChars="0"/>
                    <w:rPr>
                      <w:rFonts w:ascii="宋体" w:hAnsi="宋体" w:eastAsia="宋体"/>
                      <w:szCs w:val="21"/>
                    </w:rPr>
                  </w:pPr>
                  <w:r>
                    <w:rPr>
                      <w:rFonts w:hint="eastAsia" w:ascii="宋体" w:hAnsi="宋体" w:eastAsia="宋体"/>
                      <w:szCs w:val="21"/>
                    </w:rPr>
                    <w:t>需提供系统级别的参数设计，可灵活设置系统功能开关和需要修改的系统参数。提供机构级别的参数设计，可通过机构参数灵活设置机构的特殊功能。</w:t>
                  </w:r>
                </w:p>
              </w:tc>
              <w:tc>
                <w:tcPr>
                  <w:tcW w:w="825" w:type="dxa"/>
                  <w:vMerge w:val="continue"/>
                  <w:shd w:val="clear" w:color="auto" w:fill="D7D7D7" w:themeFill="background1" w:themeFillShade="D8"/>
                  <w:vAlign w:val="center"/>
                </w:tcPr>
                <w:p>
                  <w:pPr>
                    <w:rPr>
                      <w:rFonts w:ascii="宋体" w:hAnsi="宋体" w:eastAsia="宋体"/>
                      <w:szCs w:val="21"/>
                    </w:rPr>
                  </w:pPr>
                </w:p>
              </w:tc>
              <w:tc>
                <w:tcPr>
                  <w:tcW w:w="1184" w:type="dxa"/>
                  <w:vMerge w:val="continue"/>
                  <w:tcBorders/>
                  <w:shd w:val="clear" w:color="auto" w:fill="D7D7D7" w:themeFill="background1" w:themeFillShade="D8"/>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基础数据维护</w:t>
                  </w:r>
                </w:p>
              </w:tc>
              <w:tc>
                <w:tcPr>
                  <w:tcW w:w="5711" w:type="dxa"/>
                  <w:shd w:val="clear" w:color="auto" w:fill="D7D7D7" w:themeFill="background1" w:themeFillShade="D8"/>
                  <w:vAlign w:val="center"/>
                </w:tcPr>
                <w:p>
                  <w:pPr>
                    <w:pStyle w:val="15"/>
                    <w:numPr>
                      <w:ilvl w:val="0"/>
                      <w:numId w:val="3"/>
                    </w:numPr>
                    <w:ind w:left="0" w:firstLine="0" w:firstLineChars="0"/>
                    <w:rPr>
                      <w:rFonts w:ascii="宋体" w:hAnsi="宋体" w:eastAsia="宋体"/>
                      <w:szCs w:val="21"/>
                    </w:rPr>
                  </w:pPr>
                  <w:r>
                    <w:rPr>
                      <w:rFonts w:hint="eastAsia" w:ascii="宋体" w:hAnsi="宋体" w:eastAsia="宋体"/>
                      <w:szCs w:val="21"/>
                    </w:rPr>
                    <w:t>提供专家管理功能，可新增、修改维护专家数据，维护专家的签名图片。</w:t>
                  </w:r>
                </w:p>
              </w:tc>
              <w:tc>
                <w:tcPr>
                  <w:tcW w:w="825" w:type="dxa"/>
                  <w:vMerge w:val="continue"/>
                  <w:shd w:val="clear" w:color="auto" w:fill="D7D7D7" w:themeFill="background1" w:themeFillShade="D8"/>
                  <w:vAlign w:val="center"/>
                </w:tcPr>
                <w:p>
                  <w:pPr>
                    <w:rPr>
                      <w:rFonts w:ascii="宋体" w:hAnsi="宋体" w:eastAsia="宋体"/>
                      <w:szCs w:val="21"/>
                    </w:rPr>
                  </w:pPr>
                </w:p>
              </w:tc>
              <w:tc>
                <w:tcPr>
                  <w:tcW w:w="1184" w:type="dxa"/>
                  <w:vMerge w:val="continue"/>
                  <w:tcBorders/>
                  <w:shd w:val="clear" w:color="auto" w:fill="D7D7D7" w:themeFill="background1" w:themeFillShade="D8"/>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3"/>
                    </w:numPr>
                    <w:ind w:left="0" w:firstLine="0" w:firstLineChars="0"/>
                    <w:rPr>
                      <w:rFonts w:ascii="宋体" w:hAnsi="宋体" w:eastAsia="宋体"/>
                      <w:szCs w:val="21"/>
                    </w:rPr>
                  </w:pPr>
                  <w:r>
                    <w:rPr>
                      <w:rFonts w:hint="eastAsia" w:ascii="宋体" w:hAnsi="宋体" w:eastAsia="宋体"/>
                      <w:szCs w:val="21"/>
                    </w:rPr>
                    <w:t>提供病理诊断模板维护功能和专家诊断模板维护功能，方便专家在录入诊断时，快捷录入诊断结果。</w:t>
                  </w:r>
                </w:p>
              </w:tc>
              <w:tc>
                <w:tcPr>
                  <w:tcW w:w="825" w:type="dxa"/>
                  <w:vMerge w:val="continue"/>
                  <w:shd w:val="clear" w:color="auto" w:fill="D7D7D7" w:themeFill="background1" w:themeFillShade="D8"/>
                  <w:vAlign w:val="center"/>
                </w:tcPr>
                <w:p>
                  <w:pPr>
                    <w:rPr>
                      <w:rFonts w:ascii="宋体" w:hAnsi="宋体" w:eastAsia="宋体"/>
                      <w:szCs w:val="21"/>
                    </w:rPr>
                  </w:pPr>
                </w:p>
              </w:tc>
              <w:tc>
                <w:tcPr>
                  <w:tcW w:w="1184" w:type="dxa"/>
                  <w:vMerge w:val="continue"/>
                  <w:tcBorders/>
                  <w:shd w:val="clear" w:color="auto" w:fill="D7D7D7" w:themeFill="background1" w:themeFillShade="D8"/>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3"/>
                    </w:numPr>
                    <w:ind w:left="0" w:firstLine="0" w:firstLineChars="0"/>
                    <w:rPr>
                      <w:rFonts w:ascii="宋体" w:hAnsi="宋体" w:eastAsia="宋体"/>
                      <w:szCs w:val="21"/>
                    </w:rPr>
                  </w:pPr>
                  <w:r>
                    <w:rPr>
                      <w:rFonts w:hint="eastAsia" w:ascii="宋体" w:hAnsi="宋体" w:eastAsia="宋体"/>
                      <w:szCs w:val="21"/>
                    </w:rPr>
                    <w:t>提供报告模板管理功能，可增加、修改、删除模板功能，可编辑报告模板内容，在发布报告时，可依据报告模板生成PDF报告。</w:t>
                  </w:r>
                </w:p>
              </w:tc>
              <w:tc>
                <w:tcPr>
                  <w:tcW w:w="825" w:type="dxa"/>
                  <w:vMerge w:val="continue"/>
                  <w:shd w:val="clear" w:color="auto" w:fill="D7D7D7" w:themeFill="background1" w:themeFillShade="D8"/>
                  <w:vAlign w:val="center"/>
                </w:tcPr>
                <w:p>
                  <w:pPr>
                    <w:rPr>
                      <w:rFonts w:ascii="宋体" w:hAnsi="宋体" w:eastAsia="宋体"/>
                      <w:szCs w:val="21"/>
                    </w:rPr>
                  </w:pPr>
                </w:p>
              </w:tc>
              <w:tc>
                <w:tcPr>
                  <w:tcW w:w="1184" w:type="dxa"/>
                  <w:vMerge w:val="continue"/>
                  <w:tcBorders/>
                  <w:shd w:val="clear" w:color="auto" w:fill="D7D7D7" w:themeFill="background1" w:themeFillShade="D8"/>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平台运行监控</w:t>
                  </w:r>
                </w:p>
              </w:tc>
              <w:tc>
                <w:tcPr>
                  <w:tcW w:w="5711" w:type="dxa"/>
                  <w:shd w:val="clear" w:color="auto" w:fill="D7D7D7" w:themeFill="background1" w:themeFillShade="D8"/>
                  <w:vAlign w:val="center"/>
                </w:tcPr>
                <w:p>
                  <w:pPr>
                    <w:pStyle w:val="15"/>
                    <w:numPr>
                      <w:ilvl w:val="0"/>
                      <w:numId w:val="4"/>
                    </w:numPr>
                    <w:ind w:firstLineChars="0"/>
                    <w:rPr>
                      <w:rFonts w:ascii="宋体" w:hAnsi="宋体" w:eastAsia="宋体"/>
                      <w:szCs w:val="21"/>
                    </w:rPr>
                  </w:pPr>
                  <w:r>
                    <w:rPr>
                      <w:rFonts w:hint="eastAsia" w:ascii="宋体" w:hAnsi="宋体" w:eastAsia="宋体"/>
                      <w:szCs w:val="21"/>
                    </w:rPr>
                    <w:t>提供敏感操作日志的记录功能，如用户登录、数据导出；</w:t>
                  </w:r>
                </w:p>
                <w:p>
                  <w:pPr>
                    <w:pStyle w:val="15"/>
                    <w:ind w:firstLine="0" w:firstLineChars="0"/>
                    <w:rPr>
                      <w:rFonts w:ascii="宋体" w:hAnsi="宋体" w:eastAsia="宋体"/>
                      <w:szCs w:val="21"/>
                    </w:rPr>
                  </w:pPr>
                  <w:r>
                    <w:rPr>
                      <w:rFonts w:hint="eastAsia" w:ascii="宋体" w:hAnsi="宋体" w:eastAsia="宋体"/>
                      <w:szCs w:val="21"/>
                    </w:rPr>
                    <w:t>可按照时间段或关键字查询日志；</w:t>
                  </w:r>
                </w:p>
              </w:tc>
              <w:tc>
                <w:tcPr>
                  <w:tcW w:w="825" w:type="dxa"/>
                  <w:vMerge w:val="continue"/>
                  <w:shd w:val="clear" w:color="auto" w:fill="D7D7D7" w:themeFill="background1" w:themeFillShade="D8"/>
                  <w:vAlign w:val="center"/>
                </w:tcPr>
                <w:p>
                  <w:pPr>
                    <w:rPr>
                      <w:rFonts w:ascii="宋体" w:hAnsi="宋体" w:eastAsia="宋体"/>
                      <w:szCs w:val="21"/>
                    </w:rPr>
                  </w:pPr>
                </w:p>
              </w:tc>
              <w:tc>
                <w:tcPr>
                  <w:tcW w:w="1184" w:type="dxa"/>
                  <w:vMerge w:val="continue"/>
                  <w:tcBorders/>
                  <w:shd w:val="clear" w:color="auto" w:fill="D7D7D7" w:themeFill="background1" w:themeFillShade="D8"/>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4"/>
                    </w:numPr>
                    <w:ind w:left="0" w:firstLine="0" w:firstLineChars="0"/>
                    <w:rPr>
                      <w:rFonts w:ascii="宋体" w:hAnsi="宋体" w:eastAsia="宋体"/>
                      <w:szCs w:val="21"/>
                    </w:rPr>
                  </w:pPr>
                  <w:r>
                    <w:rPr>
                      <w:rFonts w:hint="eastAsia" w:ascii="宋体" w:hAnsi="宋体" w:eastAsia="宋体"/>
                      <w:szCs w:val="21"/>
                    </w:rPr>
                    <w:t>提供服务监控功能，对切片服务器、数据库服务器的硬件使用率进行查询和监控；</w:t>
                  </w:r>
                </w:p>
              </w:tc>
              <w:tc>
                <w:tcPr>
                  <w:tcW w:w="825" w:type="dxa"/>
                  <w:vMerge w:val="continue"/>
                  <w:shd w:val="clear" w:color="auto" w:fill="D7D7D7" w:themeFill="background1" w:themeFillShade="D8"/>
                  <w:vAlign w:val="center"/>
                </w:tcPr>
                <w:p>
                  <w:pPr>
                    <w:rPr>
                      <w:rFonts w:ascii="宋体" w:hAnsi="宋体" w:eastAsia="宋体"/>
                      <w:szCs w:val="21"/>
                    </w:rPr>
                  </w:pPr>
                </w:p>
              </w:tc>
              <w:tc>
                <w:tcPr>
                  <w:tcW w:w="1184" w:type="dxa"/>
                  <w:vMerge w:val="continue"/>
                  <w:tcBorders/>
                  <w:shd w:val="clear" w:color="auto" w:fill="D7D7D7" w:themeFill="background1" w:themeFillShade="D8"/>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4"/>
                    </w:numPr>
                    <w:ind w:left="0" w:firstLine="0" w:firstLineChars="0"/>
                    <w:rPr>
                      <w:rFonts w:ascii="宋体" w:hAnsi="宋体" w:eastAsia="宋体"/>
                      <w:szCs w:val="21"/>
                    </w:rPr>
                  </w:pPr>
                  <w:r>
                    <w:rPr>
                      <w:rFonts w:hint="eastAsia" w:ascii="宋体" w:hAnsi="宋体" w:eastAsia="宋体"/>
                      <w:szCs w:val="21"/>
                    </w:rPr>
                    <w:t>提供机构在线监控维护，对接入平台的机构应用服务进行在线查询。</w:t>
                  </w:r>
                </w:p>
              </w:tc>
              <w:tc>
                <w:tcPr>
                  <w:tcW w:w="825" w:type="dxa"/>
                  <w:vMerge w:val="continue"/>
                  <w:shd w:val="clear" w:color="auto" w:fill="D7D7D7" w:themeFill="background1" w:themeFillShade="D8"/>
                  <w:vAlign w:val="center"/>
                </w:tcPr>
                <w:p>
                  <w:pPr>
                    <w:rPr>
                      <w:rFonts w:ascii="宋体" w:hAnsi="宋体" w:eastAsia="宋体"/>
                      <w:szCs w:val="21"/>
                    </w:rPr>
                  </w:pPr>
                </w:p>
              </w:tc>
              <w:tc>
                <w:tcPr>
                  <w:tcW w:w="1184" w:type="dxa"/>
                  <w:vMerge w:val="continue"/>
                  <w:tcBorders/>
                  <w:shd w:val="clear" w:color="auto" w:fill="D7D7D7" w:themeFill="background1" w:themeFillShade="D8"/>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预约管理模块</w:t>
                  </w:r>
                </w:p>
              </w:tc>
              <w:tc>
                <w:tcPr>
                  <w:tcW w:w="5711" w:type="dxa"/>
                  <w:shd w:val="clear" w:color="auto" w:fill="D7D7D7" w:themeFill="background1" w:themeFillShade="D8"/>
                  <w:vAlign w:val="center"/>
                </w:tcPr>
                <w:p>
                  <w:pPr>
                    <w:pStyle w:val="15"/>
                    <w:numPr>
                      <w:ilvl w:val="0"/>
                      <w:numId w:val="5"/>
                    </w:numPr>
                    <w:ind w:left="0" w:firstLine="0" w:firstLineChars="0"/>
                    <w:rPr>
                      <w:rFonts w:ascii="宋体" w:hAnsi="宋体" w:eastAsia="宋体"/>
                      <w:szCs w:val="21"/>
                    </w:rPr>
                  </w:pPr>
                  <w:r>
                    <w:rPr>
                      <w:rFonts w:hint="eastAsia" w:ascii="宋体" w:hAnsi="宋体" w:eastAsia="宋体"/>
                      <w:szCs w:val="21"/>
                    </w:rPr>
                    <w:t>提供申请端预约专家会诊功能，可选择预约类型（冰冻会诊、普通会诊），可录入病人的基本信息，阅片时间点等信息，用于冰冻需要预约会诊的情况。</w:t>
                  </w:r>
                </w:p>
              </w:tc>
              <w:tc>
                <w:tcPr>
                  <w:tcW w:w="825" w:type="dxa"/>
                  <w:vMerge w:val="continue"/>
                  <w:shd w:val="clear" w:color="auto" w:fill="D7D7D7" w:themeFill="background1" w:themeFillShade="D8"/>
                  <w:vAlign w:val="center"/>
                </w:tcPr>
                <w:p>
                  <w:pPr>
                    <w:rPr>
                      <w:rFonts w:ascii="宋体" w:hAnsi="宋体" w:eastAsia="宋体"/>
                      <w:szCs w:val="21"/>
                    </w:rPr>
                  </w:pPr>
                </w:p>
              </w:tc>
              <w:tc>
                <w:tcPr>
                  <w:tcW w:w="1184" w:type="dxa"/>
                  <w:vMerge w:val="continue"/>
                  <w:tcBorders/>
                  <w:shd w:val="clear" w:color="auto" w:fill="D7D7D7" w:themeFill="background1" w:themeFillShade="D8"/>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5"/>
                    </w:numPr>
                    <w:ind w:left="0" w:firstLine="0" w:firstLineChars="0"/>
                    <w:rPr>
                      <w:rFonts w:ascii="宋体" w:hAnsi="宋体" w:eastAsia="宋体"/>
                      <w:szCs w:val="21"/>
                    </w:rPr>
                  </w:pPr>
                  <w:r>
                    <w:rPr>
                      <w:rFonts w:hint="eastAsia" w:ascii="宋体" w:hAnsi="宋体" w:eastAsia="宋体"/>
                      <w:szCs w:val="21"/>
                    </w:rPr>
                    <w:t>提供已确认预约查询功能。</w:t>
                  </w:r>
                </w:p>
              </w:tc>
              <w:tc>
                <w:tcPr>
                  <w:tcW w:w="825" w:type="dxa"/>
                  <w:vMerge w:val="continue"/>
                  <w:shd w:val="clear" w:color="auto" w:fill="D7D7D7" w:themeFill="background1" w:themeFillShade="D8"/>
                  <w:vAlign w:val="center"/>
                </w:tcPr>
                <w:p>
                  <w:pPr>
                    <w:rPr>
                      <w:rFonts w:ascii="宋体" w:hAnsi="宋体" w:eastAsia="宋体"/>
                      <w:szCs w:val="21"/>
                    </w:rPr>
                  </w:pPr>
                </w:p>
              </w:tc>
              <w:tc>
                <w:tcPr>
                  <w:tcW w:w="1184" w:type="dxa"/>
                  <w:vMerge w:val="continue"/>
                  <w:tcBorders/>
                  <w:shd w:val="clear" w:color="auto" w:fill="D7D7D7" w:themeFill="background1" w:themeFillShade="D8"/>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5"/>
                    </w:numPr>
                    <w:ind w:left="0" w:firstLine="0" w:firstLineChars="0"/>
                    <w:rPr>
                      <w:rFonts w:ascii="宋体" w:hAnsi="宋体" w:eastAsia="宋体"/>
                      <w:szCs w:val="21"/>
                    </w:rPr>
                  </w:pPr>
                  <w:r>
                    <w:rPr>
                      <w:rFonts w:hint="eastAsia" w:ascii="宋体" w:hAnsi="宋体" w:eastAsia="宋体"/>
                      <w:szCs w:val="21"/>
                    </w:rPr>
                    <w:t>可控制预约的提前时限和超时时限，如距离预约时间间隔已小于提前时间，不可预约；超过了超时时限，不能退回和取消预约；</w:t>
                  </w:r>
                </w:p>
              </w:tc>
              <w:tc>
                <w:tcPr>
                  <w:tcW w:w="825" w:type="dxa"/>
                  <w:vMerge w:val="continue"/>
                  <w:shd w:val="clear" w:color="auto" w:fill="D7D7D7" w:themeFill="background1" w:themeFillShade="D8"/>
                  <w:vAlign w:val="center"/>
                </w:tcPr>
                <w:p>
                  <w:pPr>
                    <w:rPr>
                      <w:rFonts w:ascii="宋体" w:hAnsi="宋体" w:eastAsia="宋体"/>
                      <w:szCs w:val="21"/>
                    </w:rPr>
                  </w:pPr>
                </w:p>
              </w:tc>
              <w:tc>
                <w:tcPr>
                  <w:tcW w:w="1184" w:type="dxa"/>
                  <w:vMerge w:val="continue"/>
                  <w:tcBorders/>
                  <w:shd w:val="clear" w:color="auto" w:fill="D7D7D7" w:themeFill="background1" w:themeFillShade="D8"/>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5"/>
                    </w:numPr>
                    <w:ind w:left="0" w:firstLine="0" w:firstLineChars="0"/>
                    <w:rPr>
                      <w:rFonts w:ascii="宋体" w:hAnsi="宋体" w:eastAsia="宋体"/>
                      <w:szCs w:val="21"/>
                    </w:rPr>
                  </w:pPr>
                  <w:r>
                    <w:rPr>
                      <w:rFonts w:hint="eastAsia" w:ascii="宋体" w:hAnsi="宋体" w:eastAsia="宋体"/>
                      <w:szCs w:val="21"/>
                    </w:rPr>
                    <w:t>提供预约确认功能，专家在确认会诊时间点、病人基本信息之后，可确认或者拒绝预约。</w:t>
                  </w:r>
                </w:p>
              </w:tc>
              <w:tc>
                <w:tcPr>
                  <w:tcW w:w="825" w:type="dxa"/>
                  <w:vMerge w:val="continue"/>
                  <w:shd w:val="clear" w:color="auto" w:fill="D7D7D7" w:themeFill="background1" w:themeFillShade="D8"/>
                  <w:vAlign w:val="center"/>
                </w:tcPr>
                <w:p>
                  <w:pPr>
                    <w:rPr>
                      <w:rFonts w:ascii="宋体" w:hAnsi="宋体" w:eastAsia="宋体"/>
                      <w:szCs w:val="21"/>
                    </w:rPr>
                  </w:pPr>
                </w:p>
              </w:tc>
              <w:tc>
                <w:tcPr>
                  <w:tcW w:w="1184" w:type="dxa"/>
                  <w:vMerge w:val="continue"/>
                  <w:tcBorders/>
                  <w:shd w:val="clear" w:color="auto" w:fill="D7D7D7" w:themeFill="background1" w:themeFillShade="D8"/>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查询统计模块</w:t>
                  </w:r>
                </w:p>
              </w:tc>
              <w:tc>
                <w:tcPr>
                  <w:tcW w:w="5711" w:type="dxa"/>
                  <w:shd w:val="clear" w:color="auto" w:fill="D7D7D7" w:themeFill="background1" w:themeFillShade="D8"/>
                  <w:vAlign w:val="center"/>
                </w:tcPr>
                <w:p>
                  <w:pPr>
                    <w:pStyle w:val="15"/>
                    <w:numPr>
                      <w:ilvl w:val="0"/>
                      <w:numId w:val="6"/>
                    </w:numPr>
                    <w:ind w:left="0" w:firstLine="0" w:firstLineChars="0"/>
                    <w:rPr>
                      <w:rFonts w:ascii="宋体" w:hAnsi="宋体" w:eastAsia="宋体"/>
                      <w:szCs w:val="21"/>
                    </w:rPr>
                  </w:pPr>
                  <w:r>
                    <w:rPr>
                      <w:rFonts w:hint="eastAsia" w:ascii="宋体" w:hAnsi="宋体" w:eastAsia="宋体"/>
                      <w:szCs w:val="21"/>
                    </w:rPr>
                    <w:t>按诊断专家统计；按申请机构统计；按诊断中心统计；专家会诊数量统计；专家会诊明细查询。</w:t>
                  </w:r>
                </w:p>
              </w:tc>
              <w:tc>
                <w:tcPr>
                  <w:tcW w:w="825" w:type="dxa"/>
                  <w:vMerge w:val="continue"/>
                  <w:shd w:val="clear" w:color="auto" w:fill="D7D7D7" w:themeFill="background1" w:themeFillShade="D8"/>
                  <w:vAlign w:val="center"/>
                </w:tcPr>
                <w:p>
                  <w:pPr>
                    <w:rPr>
                      <w:rFonts w:ascii="宋体" w:hAnsi="宋体" w:eastAsia="宋体"/>
                      <w:szCs w:val="21"/>
                    </w:rPr>
                  </w:pPr>
                </w:p>
              </w:tc>
              <w:tc>
                <w:tcPr>
                  <w:tcW w:w="1184" w:type="dxa"/>
                  <w:vMerge w:val="continue"/>
                  <w:tcBorders/>
                  <w:shd w:val="clear" w:color="auto" w:fill="D7D7D7" w:themeFill="background1" w:themeFillShade="D8"/>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专家阅片模块</w:t>
                  </w:r>
                </w:p>
              </w:tc>
              <w:tc>
                <w:tcPr>
                  <w:tcW w:w="1222"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会诊病例管理</w:t>
                  </w:r>
                </w:p>
              </w:tc>
              <w:tc>
                <w:tcPr>
                  <w:tcW w:w="5711" w:type="dxa"/>
                  <w:shd w:val="clear" w:color="auto" w:fill="auto"/>
                  <w:vAlign w:val="center"/>
                </w:tcPr>
                <w:p>
                  <w:pPr>
                    <w:pStyle w:val="15"/>
                    <w:numPr>
                      <w:ilvl w:val="0"/>
                      <w:numId w:val="7"/>
                    </w:numPr>
                    <w:ind w:firstLineChars="0"/>
                    <w:rPr>
                      <w:rFonts w:ascii="宋体" w:hAnsi="宋体" w:eastAsia="宋体"/>
                      <w:szCs w:val="21"/>
                    </w:rPr>
                  </w:pPr>
                  <w:r>
                    <w:rPr>
                      <w:rFonts w:hint="eastAsia" w:ascii="宋体" w:hAnsi="宋体" w:eastAsia="宋体"/>
                      <w:szCs w:val="21"/>
                    </w:rPr>
                    <w:t>提供完善的会诊预约与取消预约管理功能；</w:t>
                  </w:r>
                </w:p>
              </w:tc>
              <w:tc>
                <w:tcPr>
                  <w:tcW w:w="825"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1套</w:t>
                  </w:r>
                </w:p>
              </w:tc>
              <w:tc>
                <w:tcPr>
                  <w:tcW w:w="1184" w:type="dxa"/>
                  <w:vMerge w:val="restart"/>
                  <w:shd w:val="clear" w:color="auto" w:fill="auto"/>
                  <w:vAlign w:val="center"/>
                </w:tcPr>
                <w:p>
                  <w:pPr>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auto"/>
                  <w:vAlign w:val="center"/>
                </w:tcPr>
                <w:p>
                  <w:pPr>
                    <w:jc w:val="center"/>
                    <w:rPr>
                      <w:rFonts w:ascii="宋体" w:hAnsi="宋体" w:eastAsia="宋体"/>
                      <w:szCs w:val="21"/>
                    </w:rPr>
                  </w:pPr>
                </w:p>
              </w:tc>
              <w:tc>
                <w:tcPr>
                  <w:tcW w:w="1222" w:type="dxa"/>
                  <w:vMerge w:val="continue"/>
                  <w:shd w:val="clear" w:color="auto" w:fill="auto"/>
                  <w:vAlign w:val="center"/>
                </w:tcPr>
                <w:p>
                  <w:pPr>
                    <w:jc w:val="center"/>
                    <w:rPr>
                      <w:rFonts w:ascii="宋体" w:hAnsi="宋体" w:eastAsia="宋体"/>
                      <w:szCs w:val="21"/>
                    </w:rPr>
                  </w:pPr>
                </w:p>
              </w:tc>
              <w:tc>
                <w:tcPr>
                  <w:tcW w:w="5711" w:type="dxa"/>
                  <w:shd w:val="clear" w:color="auto" w:fill="auto"/>
                  <w:vAlign w:val="center"/>
                </w:tcPr>
                <w:p>
                  <w:pPr>
                    <w:pStyle w:val="15"/>
                    <w:numPr>
                      <w:ilvl w:val="0"/>
                      <w:numId w:val="7"/>
                    </w:numPr>
                    <w:ind w:left="0" w:firstLine="0" w:firstLineChars="0"/>
                    <w:rPr>
                      <w:rFonts w:ascii="宋体" w:hAnsi="宋体" w:eastAsia="宋体"/>
                      <w:szCs w:val="21"/>
                    </w:rPr>
                  </w:pPr>
                  <w:r>
                    <w:rPr>
                      <w:rFonts w:hint="eastAsia" w:ascii="宋体" w:hAnsi="宋体" w:eastAsia="宋体"/>
                      <w:szCs w:val="21"/>
                    </w:rPr>
                    <w:t>预约专家可及时查看预约病例；</w:t>
                  </w:r>
                </w:p>
              </w:tc>
              <w:tc>
                <w:tcPr>
                  <w:tcW w:w="825" w:type="dxa"/>
                  <w:vMerge w:val="continue"/>
                  <w:shd w:val="clear" w:color="auto" w:fill="auto"/>
                  <w:vAlign w:val="center"/>
                </w:tcPr>
                <w:p>
                  <w:pPr>
                    <w:jc w:val="center"/>
                    <w:rPr>
                      <w:rFonts w:ascii="宋体" w:hAnsi="宋体" w:eastAsia="宋体"/>
                      <w:szCs w:val="21"/>
                    </w:rPr>
                  </w:pPr>
                </w:p>
              </w:tc>
              <w:tc>
                <w:tcPr>
                  <w:tcW w:w="1184" w:type="dxa"/>
                  <w:vMerge w:val="continue"/>
                  <w:tcBorders/>
                  <w:shd w:val="clear" w:color="auto" w:fill="auto"/>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auto"/>
                  <w:vAlign w:val="center"/>
                </w:tcPr>
                <w:p>
                  <w:pPr>
                    <w:jc w:val="center"/>
                    <w:rPr>
                      <w:rFonts w:ascii="宋体" w:hAnsi="宋体" w:eastAsia="宋体"/>
                      <w:szCs w:val="21"/>
                    </w:rPr>
                  </w:pPr>
                </w:p>
              </w:tc>
              <w:tc>
                <w:tcPr>
                  <w:tcW w:w="1222" w:type="dxa"/>
                  <w:vMerge w:val="continue"/>
                  <w:shd w:val="clear" w:color="auto" w:fill="auto"/>
                  <w:vAlign w:val="center"/>
                </w:tcPr>
                <w:p>
                  <w:pPr>
                    <w:jc w:val="center"/>
                    <w:rPr>
                      <w:rFonts w:ascii="宋体" w:hAnsi="宋体" w:eastAsia="宋体"/>
                      <w:szCs w:val="21"/>
                    </w:rPr>
                  </w:pPr>
                </w:p>
              </w:tc>
              <w:tc>
                <w:tcPr>
                  <w:tcW w:w="5711" w:type="dxa"/>
                  <w:shd w:val="clear" w:color="auto" w:fill="auto"/>
                  <w:vAlign w:val="center"/>
                </w:tcPr>
                <w:p>
                  <w:pPr>
                    <w:pStyle w:val="15"/>
                    <w:numPr>
                      <w:ilvl w:val="0"/>
                      <w:numId w:val="7"/>
                    </w:numPr>
                    <w:ind w:left="0" w:firstLine="0" w:firstLineChars="0"/>
                    <w:rPr>
                      <w:rFonts w:ascii="宋体" w:hAnsi="宋体" w:eastAsia="宋体"/>
                      <w:szCs w:val="21"/>
                    </w:rPr>
                  </w:pPr>
                  <w:r>
                    <w:rPr>
                      <w:rFonts w:hint="eastAsia" w:ascii="宋体" w:hAnsi="宋体" w:eastAsia="宋体"/>
                      <w:szCs w:val="21"/>
                    </w:rPr>
                    <w:t>会诊专家可通过会诊平台系统进行冰冻预约确认或退回，并反馈退回原因；</w:t>
                  </w:r>
                </w:p>
              </w:tc>
              <w:tc>
                <w:tcPr>
                  <w:tcW w:w="825" w:type="dxa"/>
                  <w:vMerge w:val="continue"/>
                  <w:shd w:val="clear" w:color="auto" w:fill="auto"/>
                  <w:vAlign w:val="center"/>
                </w:tcPr>
                <w:p>
                  <w:pPr>
                    <w:jc w:val="center"/>
                    <w:rPr>
                      <w:rFonts w:ascii="宋体" w:hAnsi="宋体" w:eastAsia="宋体"/>
                      <w:szCs w:val="21"/>
                    </w:rPr>
                  </w:pPr>
                </w:p>
              </w:tc>
              <w:tc>
                <w:tcPr>
                  <w:tcW w:w="1184" w:type="dxa"/>
                  <w:vMerge w:val="continue"/>
                  <w:tcBorders/>
                  <w:shd w:val="clear" w:color="auto" w:fill="auto"/>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auto"/>
                  <w:vAlign w:val="center"/>
                </w:tcPr>
                <w:p>
                  <w:pPr>
                    <w:jc w:val="center"/>
                    <w:rPr>
                      <w:rFonts w:ascii="宋体" w:hAnsi="宋体" w:eastAsia="宋体"/>
                      <w:szCs w:val="21"/>
                    </w:rPr>
                  </w:pPr>
                </w:p>
              </w:tc>
              <w:tc>
                <w:tcPr>
                  <w:tcW w:w="1222" w:type="dxa"/>
                  <w:vMerge w:val="continue"/>
                  <w:shd w:val="clear" w:color="auto" w:fill="auto"/>
                  <w:vAlign w:val="center"/>
                </w:tcPr>
                <w:p>
                  <w:pPr>
                    <w:jc w:val="center"/>
                    <w:rPr>
                      <w:rFonts w:ascii="宋体" w:hAnsi="宋体" w:eastAsia="宋体"/>
                      <w:szCs w:val="21"/>
                    </w:rPr>
                  </w:pPr>
                </w:p>
              </w:tc>
              <w:tc>
                <w:tcPr>
                  <w:tcW w:w="5711" w:type="dxa"/>
                  <w:shd w:val="clear" w:color="auto" w:fill="auto"/>
                  <w:vAlign w:val="center"/>
                </w:tcPr>
                <w:p>
                  <w:pPr>
                    <w:pStyle w:val="15"/>
                    <w:numPr>
                      <w:ilvl w:val="0"/>
                      <w:numId w:val="7"/>
                    </w:numPr>
                    <w:ind w:left="0" w:firstLine="0" w:firstLineChars="0"/>
                    <w:rPr>
                      <w:rFonts w:ascii="宋体" w:hAnsi="宋体" w:eastAsia="宋体"/>
                      <w:szCs w:val="21"/>
                    </w:rPr>
                  </w:pPr>
                  <w:r>
                    <w:rPr>
                      <w:rFonts w:hint="eastAsia" w:ascii="宋体" w:hAnsi="宋体" w:eastAsia="宋体"/>
                      <w:szCs w:val="21"/>
                    </w:rPr>
                    <w:t>支持申请医生提前预约专家进行冰冻病例或疑难病例会诊；支持转诊，专家可以将病例转诊到其他同平台下的其他机构的其他专家，转诊后被转诊的专家也可以查看和发布会诊报告。</w:t>
                  </w:r>
                </w:p>
              </w:tc>
              <w:tc>
                <w:tcPr>
                  <w:tcW w:w="825" w:type="dxa"/>
                  <w:vMerge w:val="continue"/>
                  <w:shd w:val="clear" w:color="auto" w:fill="auto"/>
                  <w:vAlign w:val="center"/>
                </w:tcPr>
                <w:p>
                  <w:pPr>
                    <w:jc w:val="center"/>
                    <w:rPr>
                      <w:rFonts w:ascii="宋体" w:hAnsi="宋体" w:eastAsia="宋体"/>
                      <w:szCs w:val="21"/>
                    </w:rPr>
                  </w:pPr>
                </w:p>
              </w:tc>
              <w:tc>
                <w:tcPr>
                  <w:tcW w:w="1184" w:type="dxa"/>
                  <w:vMerge w:val="continue"/>
                  <w:tcBorders/>
                  <w:shd w:val="clear" w:color="auto" w:fill="auto"/>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auto"/>
                  <w:vAlign w:val="center"/>
                </w:tcPr>
                <w:p>
                  <w:pPr>
                    <w:jc w:val="center"/>
                    <w:rPr>
                      <w:rFonts w:ascii="宋体" w:hAnsi="宋体" w:eastAsia="宋体"/>
                      <w:szCs w:val="21"/>
                    </w:rPr>
                  </w:pPr>
                </w:p>
              </w:tc>
              <w:tc>
                <w:tcPr>
                  <w:tcW w:w="1222" w:type="dxa"/>
                  <w:vMerge w:val="continue"/>
                  <w:shd w:val="clear" w:color="auto" w:fill="auto"/>
                  <w:vAlign w:val="center"/>
                </w:tcPr>
                <w:p>
                  <w:pPr>
                    <w:jc w:val="center"/>
                    <w:rPr>
                      <w:rFonts w:ascii="宋体" w:hAnsi="宋体" w:eastAsia="宋体"/>
                      <w:szCs w:val="21"/>
                    </w:rPr>
                  </w:pPr>
                </w:p>
              </w:tc>
              <w:tc>
                <w:tcPr>
                  <w:tcW w:w="5711" w:type="dxa"/>
                  <w:shd w:val="clear" w:color="auto" w:fill="auto"/>
                  <w:vAlign w:val="center"/>
                </w:tcPr>
                <w:p>
                  <w:pPr>
                    <w:pStyle w:val="15"/>
                    <w:numPr>
                      <w:ilvl w:val="0"/>
                      <w:numId w:val="7"/>
                    </w:numPr>
                    <w:ind w:left="0" w:firstLine="0" w:firstLineChars="0"/>
                    <w:rPr>
                      <w:rFonts w:ascii="宋体" w:hAnsi="宋体" w:eastAsia="宋体"/>
                      <w:szCs w:val="21"/>
                    </w:rPr>
                  </w:pPr>
                  <w:r>
                    <w:rPr>
                      <w:rFonts w:hint="eastAsia" w:ascii="宋体" w:hAnsi="宋体" w:eastAsia="宋体"/>
                      <w:szCs w:val="21"/>
                    </w:rPr>
                    <w:t>支持进行会诊病例工作量分类统计。支持发送留言给申请端</w:t>
                  </w:r>
                </w:p>
                <w:p>
                  <w:pPr>
                    <w:pStyle w:val="15"/>
                    <w:ind w:firstLine="0" w:firstLineChars="0"/>
                    <w:rPr>
                      <w:rFonts w:ascii="宋体" w:hAnsi="宋体" w:eastAsia="宋体"/>
                      <w:szCs w:val="21"/>
                    </w:rPr>
                  </w:pPr>
                  <w:r>
                    <w:rPr>
                      <w:rFonts w:hint="eastAsia" w:ascii="宋体" w:hAnsi="宋体" w:eastAsia="宋体"/>
                      <w:szCs w:val="21"/>
                    </w:rPr>
                    <w:t>支持分享病例，分享的病例可以通过URL方式发送，分享的病例被打开时无法看到病人的隐私信息，仅能看到相关的临床信息和切片。支持邀请专家，专家可以邀请同平台内的专家进行疑难会诊，被邀请的专家可以通过消息方式发送诊断意见给邀请者。</w:t>
                  </w:r>
                </w:p>
              </w:tc>
              <w:tc>
                <w:tcPr>
                  <w:tcW w:w="825" w:type="dxa"/>
                  <w:vMerge w:val="continue"/>
                  <w:shd w:val="clear" w:color="auto" w:fill="auto"/>
                  <w:vAlign w:val="center"/>
                </w:tcPr>
                <w:p>
                  <w:pPr>
                    <w:jc w:val="center"/>
                    <w:rPr>
                      <w:rFonts w:ascii="宋体" w:hAnsi="宋体" w:eastAsia="宋体"/>
                      <w:szCs w:val="21"/>
                    </w:rPr>
                  </w:pPr>
                </w:p>
              </w:tc>
              <w:tc>
                <w:tcPr>
                  <w:tcW w:w="1184" w:type="dxa"/>
                  <w:vMerge w:val="continue"/>
                  <w:tcBorders/>
                  <w:shd w:val="clear" w:color="auto" w:fill="auto"/>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auto"/>
                  <w:vAlign w:val="center"/>
                </w:tcPr>
                <w:p>
                  <w:pPr>
                    <w:jc w:val="center"/>
                    <w:rPr>
                      <w:rFonts w:ascii="宋体" w:hAnsi="宋体" w:eastAsia="宋体"/>
                      <w:szCs w:val="21"/>
                    </w:rPr>
                  </w:pPr>
                </w:p>
              </w:tc>
              <w:tc>
                <w:tcPr>
                  <w:tcW w:w="1222" w:type="dxa"/>
                  <w:vMerge w:val="continue"/>
                  <w:shd w:val="clear" w:color="auto" w:fill="auto"/>
                  <w:vAlign w:val="center"/>
                </w:tcPr>
                <w:p>
                  <w:pPr>
                    <w:jc w:val="center"/>
                    <w:rPr>
                      <w:rFonts w:ascii="宋体" w:hAnsi="宋体" w:eastAsia="宋体"/>
                      <w:szCs w:val="21"/>
                    </w:rPr>
                  </w:pPr>
                </w:p>
              </w:tc>
              <w:tc>
                <w:tcPr>
                  <w:tcW w:w="5711" w:type="dxa"/>
                  <w:shd w:val="clear" w:color="auto" w:fill="auto"/>
                  <w:vAlign w:val="center"/>
                </w:tcPr>
                <w:p>
                  <w:pPr>
                    <w:pStyle w:val="15"/>
                    <w:numPr>
                      <w:ilvl w:val="0"/>
                      <w:numId w:val="7"/>
                    </w:numPr>
                    <w:ind w:left="0" w:firstLine="0" w:firstLineChars="0"/>
                    <w:rPr>
                      <w:rFonts w:ascii="宋体" w:hAnsi="宋体" w:eastAsia="宋体"/>
                      <w:szCs w:val="21"/>
                    </w:rPr>
                  </w:pPr>
                  <w:r>
                    <w:rPr>
                      <w:rFonts w:hint="eastAsia" w:ascii="宋体" w:hAnsi="宋体" w:eastAsia="宋体"/>
                      <w:szCs w:val="21"/>
                    </w:rPr>
                    <w:t>支持历史检查结果查看，支持查看同一身份证号的同平台的病人历史会诊报告。支持查看申请端上传的临床资料等附件信息。</w:t>
                  </w:r>
                </w:p>
              </w:tc>
              <w:tc>
                <w:tcPr>
                  <w:tcW w:w="825" w:type="dxa"/>
                  <w:vMerge w:val="continue"/>
                  <w:shd w:val="clear" w:color="auto" w:fill="auto"/>
                  <w:vAlign w:val="center"/>
                </w:tcPr>
                <w:p>
                  <w:pPr>
                    <w:jc w:val="center"/>
                    <w:rPr>
                      <w:rFonts w:ascii="宋体" w:hAnsi="宋体" w:eastAsia="宋体"/>
                      <w:szCs w:val="21"/>
                    </w:rPr>
                  </w:pPr>
                </w:p>
              </w:tc>
              <w:tc>
                <w:tcPr>
                  <w:tcW w:w="1184" w:type="dxa"/>
                  <w:vMerge w:val="continue"/>
                  <w:tcBorders/>
                  <w:shd w:val="clear" w:color="auto" w:fill="auto"/>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auto"/>
                  <w:vAlign w:val="center"/>
                </w:tcPr>
                <w:p>
                  <w:pPr>
                    <w:jc w:val="center"/>
                    <w:rPr>
                      <w:rFonts w:ascii="宋体" w:hAnsi="宋体" w:eastAsia="宋体"/>
                      <w:szCs w:val="21"/>
                    </w:rPr>
                  </w:pPr>
                </w:p>
              </w:tc>
              <w:tc>
                <w:tcPr>
                  <w:tcW w:w="1222"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数字阅片管理</w:t>
                  </w:r>
                </w:p>
              </w:tc>
              <w:tc>
                <w:tcPr>
                  <w:tcW w:w="5711" w:type="dxa"/>
                  <w:shd w:val="clear" w:color="auto" w:fill="auto"/>
                  <w:vAlign w:val="center"/>
                </w:tcPr>
                <w:p>
                  <w:pPr>
                    <w:pStyle w:val="15"/>
                    <w:numPr>
                      <w:ilvl w:val="0"/>
                      <w:numId w:val="8"/>
                    </w:numPr>
                    <w:ind w:left="0" w:firstLine="0" w:firstLineChars="0"/>
                    <w:rPr>
                      <w:rFonts w:ascii="宋体" w:hAnsi="宋体" w:eastAsia="宋体"/>
                      <w:szCs w:val="21"/>
                    </w:rPr>
                  </w:pPr>
                  <w:r>
                    <w:rPr>
                      <w:rFonts w:hint="eastAsia" w:ascii="宋体" w:hAnsi="宋体" w:eastAsia="宋体"/>
                      <w:szCs w:val="21"/>
                    </w:rPr>
                    <w:t>接收诊断中心提交的疑难病例会诊申请；可查看申请端发起的需要会诊的病例全视野病理数字切片图像，进行数字阅片；</w:t>
                  </w:r>
                </w:p>
                <w:p>
                  <w:pPr>
                    <w:pStyle w:val="15"/>
                    <w:ind w:firstLine="0" w:firstLineChars="0"/>
                    <w:rPr>
                      <w:rFonts w:ascii="宋体" w:hAnsi="宋体" w:eastAsia="宋体"/>
                      <w:szCs w:val="21"/>
                    </w:rPr>
                  </w:pPr>
                  <w:r>
                    <w:rPr>
                      <w:rFonts w:hint="eastAsia" w:ascii="宋体" w:hAnsi="宋体" w:eastAsia="宋体"/>
                      <w:szCs w:val="21"/>
                    </w:rPr>
                    <w:t>可截取病理数字切片部分或全屏图像，用于病理图文报告的发放；提供病理诊断模板录入与维护功能，方便专家在录入诊断时，快捷书写诊断结果。</w:t>
                  </w:r>
                </w:p>
              </w:tc>
              <w:tc>
                <w:tcPr>
                  <w:tcW w:w="825" w:type="dxa"/>
                  <w:vMerge w:val="continue"/>
                  <w:shd w:val="clear" w:color="auto" w:fill="auto"/>
                  <w:vAlign w:val="center"/>
                </w:tcPr>
                <w:p>
                  <w:pPr>
                    <w:jc w:val="center"/>
                    <w:rPr>
                      <w:rFonts w:ascii="宋体" w:hAnsi="宋体" w:eastAsia="宋体"/>
                      <w:szCs w:val="21"/>
                    </w:rPr>
                  </w:pPr>
                </w:p>
              </w:tc>
              <w:tc>
                <w:tcPr>
                  <w:tcW w:w="1184" w:type="dxa"/>
                  <w:vMerge w:val="continue"/>
                  <w:tcBorders/>
                  <w:shd w:val="clear" w:color="auto" w:fill="auto"/>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auto"/>
                  <w:vAlign w:val="center"/>
                </w:tcPr>
                <w:p>
                  <w:pPr>
                    <w:jc w:val="center"/>
                    <w:rPr>
                      <w:rFonts w:ascii="宋体" w:hAnsi="宋体" w:eastAsia="宋体"/>
                      <w:szCs w:val="21"/>
                    </w:rPr>
                  </w:pPr>
                </w:p>
              </w:tc>
              <w:tc>
                <w:tcPr>
                  <w:tcW w:w="1222" w:type="dxa"/>
                  <w:vMerge w:val="continue"/>
                  <w:shd w:val="clear" w:color="auto" w:fill="auto"/>
                  <w:vAlign w:val="center"/>
                </w:tcPr>
                <w:p>
                  <w:pPr>
                    <w:jc w:val="center"/>
                    <w:rPr>
                      <w:rFonts w:ascii="宋体" w:hAnsi="宋体" w:eastAsia="宋体"/>
                      <w:szCs w:val="21"/>
                    </w:rPr>
                  </w:pPr>
                </w:p>
              </w:tc>
              <w:tc>
                <w:tcPr>
                  <w:tcW w:w="5711" w:type="dxa"/>
                  <w:shd w:val="clear" w:color="auto" w:fill="auto"/>
                  <w:vAlign w:val="center"/>
                </w:tcPr>
                <w:p>
                  <w:pPr>
                    <w:pStyle w:val="15"/>
                    <w:numPr>
                      <w:ilvl w:val="0"/>
                      <w:numId w:val="8"/>
                    </w:numPr>
                    <w:ind w:left="0" w:firstLine="0" w:firstLineChars="0"/>
                    <w:rPr>
                      <w:rFonts w:ascii="宋体" w:hAnsi="宋体" w:eastAsia="宋体"/>
                      <w:szCs w:val="21"/>
                    </w:rPr>
                  </w:pPr>
                  <w:r>
                    <w:rPr>
                      <w:rFonts w:hint="eastAsia" w:ascii="宋体" w:hAnsi="宋体" w:eastAsia="宋体"/>
                      <w:szCs w:val="21"/>
                    </w:rPr>
                    <w:t>可实时显示同一个病例的多个数字切片，还可对数字切片图像进行标注和测量。</w:t>
                  </w:r>
                </w:p>
              </w:tc>
              <w:tc>
                <w:tcPr>
                  <w:tcW w:w="825" w:type="dxa"/>
                  <w:vMerge w:val="continue"/>
                  <w:shd w:val="clear" w:color="auto" w:fill="auto"/>
                  <w:vAlign w:val="center"/>
                </w:tcPr>
                <w:p>
                  <w:pPr>
                    <w:jc w:val="center"/>
                    <w:rPr>
                      <w:rFonts w:ascii="宋体" w:hAnsi="宋体" w:eastAsia="宋体"/>
                      <w:szCs w:val="21"/>
                    </w:rPr>
                  </w:pPr>
                </w:p>
              </w:tc>
              <w:tc>
                <w:tcPr>
                  <w:tcW w:w="1184" w:type="dxa"/>
                  <w:vMerge w:val="continue"/>
                  <w:tcBorders/>
                  <w:shd w:val="clear" w:color="auto" w:fill="auto"/>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auto"/>
                  <w:vAlign w:val="center"/>
                </w:tcPr>
                <w:p>
                  <w:pPr>
                    <w:jc w:val="center"/>
                    <w:rPr>
                      <w:rFonts w:ascii="宋体" w:hAnsi="宋体" w:eastAsia="宋体"/>
                      <w:szCs w:val="21"/>
                    </w:rPr>
                  </w:pPr>
                </w:p>
              </w:tc>
              <w:tc>
                <w:tcPr>
                  <w:tcW w:w="1222" w:type="dxa"/>
                  <w:vMerge w:val="continue"/>
                  <w:shd w:val="clear" w:color="auto" w:fill="auto"/>
                  <w:vAlign w:val="center"/>
                </w:tcPr>
                <w:p>
                  <w:pPr>
                    <w:jc w:val="center"/>
                    <w:rPr>
                      <w:rFonts w:ascii="宋体" w:hAnsi="宋体" w:eastAsia="宋体"/>
                      <w:szCs w:val="21"/>
                    </w:rPr>
                  </w:pPr>
                </w:p>
              </w:tc>
              <w:tc>
                <w:tcPr>
                  <w:tcW w:w="5711" w:type="dxa"/>
                  <w:shd w:val="clear" w:color="auto" w:fill="auto"/>
                  <w:vAlign w:val="center"/>
                </w:tcPr>
                <w:p>
                  <w:pPr>
                    <w:pStyle w:val="15"/>
                    <w:numPr>
                      <w:ilvl w:val="0"/>
                      <w:numId w:val="8"/>
                    </w:numPr>
                    <w:ind w:left="0" w:firstLine="0" w:firstLineChars="0"/>
                    <w:rPr>
                      <w:rFonts w:ascii="宋体" w:hAnsi="宋体" w:eastAsia="宋体"/>
                      <w:szCs w:val="21"/>
                    </w:rPr>
                  </w:pPr>
                  <w:r>
                    <w:rPr>
                      <w:rFonts w:hint="eastAsia" w:ascii="宋体" w:hAnsi="宋体" w:eastAsia="宋体"/>
                      <w:szCs w:val="21"/>
                    </w:rPr>
                    <w:t>投标产品需具备医疗器械注册证。</w:t>
                  </w:r>
                </w:p>
              </w:tc>
              <w:tc>
                <w:tcPr>
                  <w:tcW w:w="825" w:type="dxa"/>
                  <w:vMerge w:val="continue"/>
                  <w:shd w:val="clear" w:color="auto" w:fill="auto"/>
                  <w:vAlign w:val="center"/>
                </w:tcPr>
                <w:p>
                  <w:pPr>
                    <w:jc w:val="center"/>
                    <w:rPr>
                      <w:rFonts w:ascii="宋体" w:hAnsi="宋体" w:eastAsia="宋体"/>
                      <w:szCs w:val="21"/>
                    </w:rPr>
                  </w:pPr>
                </w:p>
              </w:tc>
              <w:tc>
                <w:tcPr>
                  <w:tcW w:w="1184" w:type="dxa"/>
                  <w:vMerge w:val="continue"/>
                  <w:tcBorders/>
                  <w:shd w:val="clear" w:color="auto" w:fill="auto"/>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restart"/>
                  <w:shd w:val="clear" w:color="auto" w:fill="D7D7D7" w:themeFill="background1" w:themeFillShade="D8"/>
                  <w:vAlign w:val="center"/>
                </w:tcPr>
                <w:p>
                  <w:pPr>
                    <w:jc w:val="left"/>
                    <w:rPr>
                      <w:rFonts w:ascii="宋体" w:hAnsi="宋体" w:eastAsia="宋体"/>
                      <w:szCs w:val="21"/>
                    </w:rPr>
                  </w:pPr>
                  <w:r>
                    <w:rPr>
                      <w:rFonts w:hint="eastAsia" w:ascii="宋体" w:hAnsi="宋体" w:eastAsia="宋体"/>
                      <w:szCs w:val="21"/>
                    </w:rPr>
                    <w:t>应用工作站</w:t>
                  </w:r>
                </w:p>
              </w:tc>
              <w:tc>
                <w:tcPr>
                  <w:tcW w:w="1222" w:type="dxa"/>
                  <w:vMerge w:val="restart"/>
                  <w:shd w:val="clear" w:color="auto" w:fill="D7D7D7" w:themeFill="background1" w:themeFillShade="D8"/>
                  <w:vAlign w:val="center"/>
                </w:tcPr>
                <w:p>
                  <w:pPr>
                    <w:rPr>
                      <w:rFonts w:ascii="宋体" w:hAnsi="宋体" w:eastAsia="宋体"/>
                      <w:szCs w:val="21"/>
                    </w:rPr>
                  </w:pPr>
                  <w:r>
                    <w:rPr>
                      <w:rFonts w:ascii="宋体" w:hAnsi="宋体" w:eastAsia="宋体"/>
                      <w:szCs w:val="21"/>
                    </w:rPr>
                    <w:t>阅片申请工作站软件</w:t>
                  </w:r>
                </w:p>
              </w:tc>
              <w:tc>
                <w:tcPr>
                  <w:tcW w:w="5711" w:type="dxa"/>
                  <w:shd w:val="clear" w:color="auto" w:fill="D7D7D7" w:themeFill="background1" w:themeFillShade="D8"/>
                  <w:vAlign w:val="center"/>
                </w:tcPr>
                <w:p>
                  <w:pPr>
                    <w:pStyle w:val="15"/>
                    <w:numPr>
                      <w:ilvl w:val="0"/>
                      <w:numId w:val="9"/>
                    </w:numPr>
                    <w:ind w:left="0" w:firstLine="0" w:firstLineChars="0"/>
                    <w:rPr>
                      <w:rFonts w:ascii="宋体" w:hAnsi="宋体" w:eastAsia="宋体"/>
                      <w:szCs w:val="21"/>
                    </w:rPr>
                  </w:pPr>
                  <w:r>
                    <w:rPr>
                      <w:rFonts w:hint="eastAsia" w:ascii="宋体" w:hAnsi="宋体" w:eastAsia="宋体"/>
                      <w:szCs w:val="21"/>
                    </w:rPr>
                    <w:t>提供申请会诊功能，可手工录入或提取病人基本信息，可选择上传数字切片和临床资料上传至会诊平台。会诊申请机构可以查看专家已发布的病理报告，对完成会诊的申请进行归档。</w:t>
                  </w:r>
                </w:p>
                <w:p>
                  <w:pPr>
                    <w:pStyle w:val="15"/>
                    <w:ind w:firstLine="0" w:firstLineChars="0"/>
                    <w:rPr>
                      <w:rFonts w:ascii="宋体" w:hAnsi="宋体" w:eastAsia="宋体"/>
                      <w:szCs w:val="21"/>
                    </w:rPr>
                  </w:pPr>
                  <w:r>
                    <w:rPr>
                      <w:rFonts w:hint="eastAsia" w:ascii="宋体" w:hAnsi="宋体" w:eastAsia="宋体"/>
                      <w:szCs w:val="21"/>
                    </w:rPr>
                    <w:t>可以查看、打印和下载专家会诊发布的PDF格式的病理报告。</w:t>
                  </w:r>
                </w:p>
              </w:tc>
              <w:tc>
                <w:tcPr>
                  <w:tcW w:w="825"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2套</w:t>
                  </w:r>
                </w:p>
              </w:tc>
              <w:tc>
                <w:tcPr>
                  <w:tcW w:w="1184" w:type="dxa"/>
                  <w:vMerge w:val="restart"/>
                  <w:shd w:val="clear" w:color="auto" w:fill="D7D7D7" w:themeFill="background1" w:themeFillShade="D8"/>
                  <w:vAlign w:val="center"/>
                </w:tcPr>
                <w:p>
                  <w:pPr>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auto"/>
                  <w:vAlign w:val="center"/>
                </w:tcPr>
                <w:p>
                  <w:pPr>
                    <w:rPr>
                      <w:rFonts w:ascii="宋体" w:hAnsi="宋体" w:eastAsia="宋体"/>
                      <w:szCs w:val="21"/>
                    </w:rPr>
                  </w:pPr>
                </w:p>
              </w:tc>
              <w:tc>
                <w:tcPr>
                  <w:tcW w:w="1222" w:type="dxa"/>
                  <w:vMerge w:val="continue"/>
                  <w:shd w:val="clear" w:color="auto" w:fill="auto"/>
                  <w:vAlign w:val="center"/>
                </w:tcPr>
                <w:p>
                  <w:pPr>
                    <w:rPr>
                      <w:rFonts w:ascii="宋体" w:hAnsi="宋体" w:eastAsia="宋体"/>
                      <w:szCs w:val="21"/>
                    </w:rPr>
                  </w:pPr>
                </w:p>
              </w:tc>
              <w:tc>
                <w:tcPr>
                  <w:tcW w:w="5711" w:type="dxa"/>
                  <w:shd w:val="clear" w:color="auto" w:fill="D7D7D7" w:themeFill="background1" w:themeFillShade="D8"/>
                  <w:vAlign w:val="center"/>
                </w:tcPr>
                <w:p>
                  <w:pPr>
                    <w:pStyle w:val="15"/>
                    <w:numPr>
                      <w:ilvl w:val="0"/>
                      <w:numId w:val="9"/>
                    </w:numPr>
                    <w:ind w:left="0" w:firstLine="0" w:firstLineChars="0"/>
                    <w:rPr>
                      <w:rFonts w:ascii="宋体" w:hAnsi="宋体" w:eastAsia="宋体"/>
                      <w:szCs w:val="21"/>
                    </w:rPr>
                  </w:pPr>
                  <w:r>
                    <w:rPr>
                      <w:rFonts w:hint="eastAsia" w:ascii="宋体" w:hAnsi="宋体" w:eastAsia="宋体"/>
                      <w:szCs w:val="21"/>
                    </w:rPr>
                    <w:t>申请会诊时可依据病例情况选择专家或给专家留言。</w:t>
                  </w:r>
                </w:p>
              </w:tc>
              <w:tc>
                <w:tcPr>
                  <w:tcW w:w="825" w:type="dxa"/>
                  <w:vMerge w:val="continue"/>
                  <w:shd w:val="clear" w:color="auto" w:fill="auto"/>
                  <w:vAlign w:val="center"/>
                </w:tcPr>
                <w:p>
                  <w:pPr>
                    <w:jc w:val="center"/>
                    <w:rPr>
                      <w:rFonts w:ascii="宋体" w:hAnsi="宋体" w:eastAsia="宋体"/>
                      <w:szCs w:val="21"/>
                    </w:rPr>
                  </w:pPr>
                </w:p>
              </w:tc>
              <w:tc>
                <w:tcPr>
                  <w:tcW w:w="1184" w:type="dxa"/>
                  <w:vMerge w:val="continue"/>
                  <w:tcBorders/>
                  <w:shd w:val="clear" w:color="auto" w:fill="auto"/>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6" w:type="dxa"/>
                  <w:vMerge w:val="continue"/>
                  <w:shd w:val="clear" w:color="auto" w:fill="auto"/>
                  <w:vAlign w:val="center"/>
                </w:tcPr>
                <w:p>
                  <w:pPr>
                    <w:rPr>
                      <w:rFonts w:ascii="宋体" w:hAnsi="宋体" w:eastAsia="宋体"/>
                      <w:szCs w:val="21"/>
                    </w:rPr>
                  </w:pPr>
                </w:p>
              </w:tc>
              <w:tc>
                <w:tcPr>
                  <w:tcW w:w="1222" w:type="dxa"/>
                  <w:vMerge w:val="continue"/>
                  <w:shd w:val="clear" w:color="auto" w:fill="auto"/>
                  <w:vAlign w:val="center"/>
                </w:tcPr>
                <w:p>
                  <w:pPr>
                    <w:rPr>
                      <w:rFonts w:ascii="宋体" w:hAnsi="宋体" w:eastAsia="宋体"/>
                      <w:szCs w:val="21"/>
                    </w:rPr>
                  </w:pPr>
                </w:p>
              </w:tc>
              <w:tc>
                <w:tcPr>
                  <w:tcW w:w="5711" w:type="dxa"/>
                  <w:shd w:val="clear" w:color="auto" w:fill="D7D7D7" w:themeFill="background1" w:themeFillShade="D8"/>
                  <w:vAlign w:val="center"/>
                </w:tcPr>
                <w:p>
                  <w:pPr>
                    <w:pStyle w:val="15"/>
                    <w:numPr>
                      <w:ilvl w:val="0"/>
                      <w:numId w:val="9"/>
                    </w:numPr>
                    <w:ind w:left="0" w:firstLine="0" w:firstLineChars="0"/>
                    <w:rPr>
                      <w:rFonts w:ascii="宋体" w:hAnsi="宋体" w:eastAsia="宋体"/>
                      <w:szCs w:val="21"/>
                    </w:rPr>
                  </w:pPr>
                  <w:r>
                    <w:rPr>
                      <w:rFonts w:hint="eastAsia" w:ascii="宋体" w:hAnsi="宋体" w:eastAsia="宋体"/>
                      <w:szCs w:val="21"/>
                    </w:rPr>
                    <w:t>提交会诊申请之后，提供自动上传数字切片功能。在开放切片条码数据接口的前提下提供切片数据自动匹配数字切片功能，并提供后台有上传文件服务。</w:t>
                  </w:r>
                </w:p>
              </w:tc>
              <w:tc>
                <w:tcPr>
                  <w:tcW w:w="825" w:type="dxa"/>
                  <w:vMerge w:val="continue"/>
                  <w:shd w:val="clear" w:color="auto" w:fill="auto"/>
                  <w:vAlign w:val="center"/>
                </w:tcPr>
                <w:p>
                  <w:pPr>
                    <w:jc w:val="center"/>
                    <w:rPr>
                      <w:rFonts w:ascii="宋体" w:hAnsi="宋体" w:eastAsia="宋体"/>
                      <w:szCs w:val="21"/>
                    </w:rPr>
                  </w:pPr>
                </w:p>
              </w:tc>
              <w:tc>
                <w:tcPr>
                  <w:tcW w:w="1184" w:type="dxa"/>
                  <w:vMerge w:val="continue"/>
                  <w:tcBorders/>
                  <w:shd w:val="clear" w:color="auto" w:fill="auto"/>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16" w:type="dxa"/>
                  <w:vMerge w:val="restart"/>
                  <w:shd w:val="clear" w:color="auto" w:fill="auto"/>
                  <w:vAlign w:val="center"/>
                </w:tcPr>
                <w:p>
                  <w:pPr>
                    <w:jc w:val="left"/>
                    <w:rPr>
                      <w:rFonts w:ascii="宋体" w:hAnsi="宋体" w:eastAsia="宋体"/>
                      <w:szCs w:val="21"/>
                    </w:rPr>
                  </w:pPr>
                  <w:r>
                    <w:rPr>
                      <w:rFonts w:hint="eastAsia" w:ascii="宋体" w:hAnsi="宋体" w:eastAsia="宋体"/>
                      <w:szCs w:val="21"/>
                    </w:rPr>
                    <w:t>定制接口</w:t>
                  </w:r>
                </w:p>
              </w:tc>
              <w:tc>
                <w:tcPr>
                  <w:tcW w:w="1222" w:type="dxa"/>
                  <w:vMerge w:val="restart"/>
                  <w:shd w:val="clear" w:color="auto" w:fill="auto"/>
                  <w:vAlign w:val="center"/>
                </w:tcPr>
                <w:p>
                  <w:pPr>
                    <w:rPr>
                      <w:rFonts w:ascii="宋体" w:hAnsi="宋体" w:eastAsia="宋体"/>
                      <w:szCs w:val="21"/>
                    </w:rPr>
                  </w:pPr>
                  <w:r>
                    <w:rPr>
                      <w:rFonts w:hint="eastAsia" w:ascii="宋体" w:hAnsi="宋体" w:eastAsia="宋体"/>
                      <w:szCs w:val="21"/>
                    </w:rPr>
                    <w:t>数字切片扫描系统接口软件</w:t>
                  </w:r>
                </w:p>
              </w:tc>
              <w:tc>
                <w:tcPr>
                  <w:tcW w:w="5711" w:type="dxa"/>
                  <w:shd w:val="clear" w:color="auto" w:fill="auto"/>
                  <w:vAlign w:val="center"/>
                </w:tcPr>
                <w:p>
                  <w:pPr>
                    <w:pStyle w:val="15"/>
                    <w:numPr>
                      <w:ilvl w:val="0"/>
                      <w:numId w:val="10"/>
                    </w:numPr>
                    <w:ind w:left="0" w:firstLine="0" w:firstLineChars="0"/>
                    <w:rPr>
                      <w:rFonts w:ascii="宋体" w:hAnsi="宋体" w:eastAsia="宋体"/>
                      <w:szCs w:val="21"/>
                    </w:rPr>
                  </w:pPr>
                  <w:r>
                    <w:rPr>
                      <w:rFonts w:hint="eastAsia" w:ascii="宋体" w:hAnsi="宋体" w:eastAsia="宋体"/>
                      <w:szCs w:val="21"/>
                    </w:rPr>
                    <w:t>病理平台可从切片扫描系统获取并解析数字切片文件，同时与病人信息等内容关联保存（需上传机构病理系统支持玻片病理号条码）。将扫描仪扫描到指定目录下的数字切片按照病理号和子号自动归档到相应病理号对应病例下（需上传机构病理系统支持玻片病理号条码）</w:t>
                  </w:r>
                </w:p>
              </w:tc>
              <w:tc>
                <w:tcPr>
                  <w:tcW w:w="825" w:type="dxa"/>
                  <w:vMerge w:val="restart"/>
                  <w:shd w:val="clear" w:color="auto" w:fill="auto"/>
                  <w:vAlign w:val="center"/>
                </w:tcPr>
                <w:p>
                  <w:pPr>
                    <w:jc w:val="center"/>
                    <w:rPr>
                      <w:rFonts w:ascii="宋体" w:hAnsi="宋体" w:eastAsia="宋体"/>
                      <w:szCs w:val="21"/>
                    </w:rPr>
                  </w:pPr>
                  <w:r>
                    <w:rPr>
                      <w:rFonts w:ascii="宋体" w:hAnsi="宋体" w:eastAsia="宋体"/>
                      <w:szCs w:val="21"/>
                    </w:rPr>
                    <w:t>3</w:t>
                  </w:r>
                  <w:r>
                    <w:rPr>
                      <w:rFonts w:hint="eastAsia" w:ascii="宋体" w:hAnsi="宋体" w:eastAsia="宋体"/>
                      <w:szCs w:val="21"/>
                    </w:rPr>
                    <w:t>套</w:t>
                  </w:r>
                </w:p>
              </w:tc>
              <w:tc>
                <w:tcPr>
                  <w:tcW w:w="1184" w:type="dxa"/>
                  <w:vMerge w:val="restart"/>
                  <w:shd w:val="clear" w:color="auto" w:fill="auto"/>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016" w:type="dxa"/>
                  <w:vMerge w:val="continue"/>
                  <w:shd w:val="clear" w:color="auto" w:fill="auto"/>
                  <w:vAlign w:val="center"/>
                </w:tcPr>
                <w:p>
                  <w:pPr>
                    <w:rPr>
                      <w:rFonts w:ascii="宋体" w:hAnsi="宋体" w:eastAsia="宋体"/>
                      <w:szCs w:val="21"/>
                    </w:rPr>
                  </w:pPr>
                </w:p>
              </w:tc>
              <w:tc>
                <w:tcPr>
                  <w:tcW w:w="1222" w:type="dxa"/>
                  <w:vMerge w:val="continue"/>
                  <w:shd w:val="clear" w:color="auto" w:fill="auto"/>
                  <w:vAlign w:val="center"/>
                </w:tcPr>
                <w:p>
                  <w:pPr>
                    <w:rPr>
                      <w:rFonts w:ascii="宋体" w:hAnsi="宋体" w:eastAsia="宋体"/>
                      <w:szCs w:val="21"/>
                    </w:rPr>
                  </w:pPr>
                </w:p>
              </w:tc>
              <w:tc>
                <w:tcPr>
                  <w:tcW w:w="5711" w:type="dxa"/>
                  <w:shd w:val="clear" w:color="auto" w:fill="auto"/>
                  <w:vAlign w:val="center"/>
                </w:tcPr>
                <w:p>
                  <w:pPr>
                    <w:pStyle w:val="15"/>
                    <w:numPr>
                      <w:ilvl w:val="0"/>
                      <w:numId w:val="10"/>
                    </w:numPr>
                    <w:ind w:left="0" w:firstLine="0" w:firstLineChars="0"/>
                    <w:rPr>
                      <w:rFonts w:ascii="宋体" w:hAnsi="宋体" w:eastAsia="宋体"/>
                      <w:szCs w:val="21"/>
                    </w:rPr>
                  </w:pPr>
                  <w:r>
                    <w:rPr>
                      <w:rFonts w:hint="eastAsia" w:ascii="宋体" w:hAnsi="宋体" w:eastAsia="宋体"/>
                      <w:szCs w:val="21"/>
                    </w:rPr>
                    <w:t>支持滨松（日本）、3DHISTECH（匈牙利）、Leica、罗氏、江丰等主流厂商设备扫描的数字病理切片格式，且浏览页面统一。</w:t>
                  </w:r>
                </w:p>
                <w:p>
                  <w:pPr>
                    <w:pStyle w:val="15"/>
                    <w:ind w:firstLine="0" w:firstLineChars="0"/>
                    <w:rPr>
                      <w:rFonts w:ascii="宋体" w:hAnsi="宋体" w:eastAsia="宋体"/>
                      <w:szCs w:val="21"/>
                    </w:rPr>
                  </w:pPr>
                  <w:r>
                    <w:rPr>
                      <w:rFonts w:hint="eastAsia" w:ascii="宋体" w:hAnsi="宋体" w:eastAsia="宋体"/>
                      <w:szCs w:val="21"/>
                    </w:rPr>
                    <w:t>支持截取病理数字切片部分图像的功能，也支持快捷截取屏幕全屏，截取的图片可下载或删除。可选择截图作为病理图文报告的图像部分用于病理报告发放。</w:t>
                  </w:r>
                </w:p>
              </w:tc>
              <w:tc>
                <w:tcPr>
                  <w:tcW w:w="825" w:type="dxa"/>
                  <w:vMerge w:val="continue"/>
                  <w:shd w:val="clear" w:color="auto" w:fill="auto"/>
                  <w:vAlign w:val="center"/>
                </w:tcPr>
                <w:p>
                  <w:pPr>
                    <w:jc w:val="center"/>
                    <w:rPr>
                      <w:rFonts w:ascii="宋体" w:hAnsi="宋体" w:eastAsia="宋体"/>
                      <w:szCs w:val="21"/>
                    </w:rPr>
                  </w:pPr>
                </w:p>
              </w:tc>
              <w:tc>
                <w:tcPr>
                  <w:tcW w:w="1184" w:type="dxa"/>
                  <w:vMerge w:val="continue"/>
                  <w:tcBorders/>
                  <w:shd w:val="clear" w:color="auto" w:fill="auto"/>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016" w:type="dxa"/>
                  <w:vMerge w:val="continue"/>
                  <w:shd w:val="clear" w:color="auto" w:fill="auto"/>
                  <w:vAlign w:val="center"/>
                </w:tcPr>
                <w:p>
                  <w:pPr>
                    <w:rPr>
                      <w:rFonts w:ascii="宋体" w:hAnsi="宋体" w:eastAsia="宋体"/>
                      <w:szCs w:val="21"/>
                    </w:rPr>
                  </w:pPr>
                </w:p>
              </w:tc>
              <w:tc>
                <w:tcPr>
                  <w:tcW w:w="1222" w:type="dxa"/>
                  <w:vMerge w:val="continue"/>
                  <w:shd w:val="clear" w:color="auto" w:fill="auto"/>
                  <w:vAlign w:val="center"/>
                </w:tcPr>
                <w:p>
                  <w:pPr>
                    <w:rPr>
                      <w:rFonts w:ascii="宋体" w:hAnsi="宋体" w:eastAsia="宋体"/>
                      <w:szCs w:val="21"/>
                    </w:rPr>
                  </w:pPr>
                </w:p>
              </w:tc>
              <w:tc>
                <w:tcPr>
                  <w:tcW w:w="5711" w:type="dxa"/>
                  <w:shd w:val="clear" w:color="auto" w:fill="auto"/>
                  <w:vAlign w:val="center"/>
                </w:tcPr>
                <w:p>
                  <w:pPr>
                    <w:pStyle w:val="15"/>
                    <w:numPr>
                      <w:ilvl w:val="0"/>
                      <w:numId w:val="10"/>
                    </w:numPr>
                    <w:ind w:left="0" w:firstLine="0" w:firstLineChars="0"/>
                    <w:rPr>
                      <w:rFonts w:ascii="宋体" w:hAnsi="宋体" w:eastAsia="宋体"/>
                      <w:szCs w:val="21"/>
                    </w:rPr>
                  </w:pPr>
                  <w:r>
                    <w:rPr>
                      <w:rFonts w:hint="eastAsia" w:ascii="宋体" w:hAnsi="宋体" w:eastAsia="宋体"/>
                      <w:szCs w:val="21"/>
                    </w:rPr>
                    <w:t>同一个病例可列出多个数字切片，并能实时切换显示。提供矩形、圆形、椭圆、多边形、曲线、测量距离、定点等多种方式标注切片并支持再查看、修改和删除。通过切片标注功能，可实时测量切片某个区域的大小或长度。可以将页面上的比例尺、缩放、方向键、标注、缩略图隐藏或者显示。</w:t>
                  </w:r>
                </w:p>
              </w:tc>
              <w:tc>
                <w:tcPr>
                  <w:tcW w:w="825" w:type="dxa"/>
                  <w:vMerge w:val="continue"/>
                  <w:shd w:val="clear" w:color="auto" w:fill="auto"/>
                  <w:vAlign w:val="center"/>
                </w:tcPr>
                <w:p>
                  <w:pPr>
                    <w:jc w:val="center"/>
                    <w:rPr>
                      <w:rFonts w:ascii="宋体" w:hAnsi="宋体" w:eastAsia="宋体"/>
                      <w:szCs w:val="21"/>
                    </w:rPr>
                  </w:pPr>
                </w:p>
              </w:tc>
              <w:tc>
                <w:tcPr>
                  <w:tcW w:w="1184" w:type="dxa"/>
                  <w:vMerge w:val="continue"/>
                  <w:tcBorders/>
                  <w:shd w:val="clear" w:color="auto" w:fill="auto"/>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016" w:type="dxa"/>
                  <w:vMerge w:val="continue"/>
                  <w:shd w:val="clear" w:color="auto" w:fill="auto"/>
                  <w:vAlign w:val="center"/>
                </w:tcPr>
                <w:p>
                  <w:pPr>
                    <w:rPr>
                      <w:rFonts w:ascii="宋体" w:hAnsi="宋体" w:eastAsia="宋体"/>
                      <w:szCs w:val="21"/>
                    </w:rPr>
                  </w:pPr>
                </w:p>
              </w:tc>
              <w:tc>
                <w:tcPr>
                  <w:tcW w:w="1222" w:type="dxa"/>
                  <w:vMerge w:val="continue"/>
                  <w:shd w:val="clear" w:color="auto" w:fill="auto"/>
                  <w:vAlign w:val="center"/>
                </w:tcPr>
                <w:p>
                  <w:pPr>
                    <w:rPr>
                      <w:rFonts w:ascii="宋体" w:hAnsi="宋体" w:eastAsia="宋体"/>
                      <w:szCs w:val="21"/>
                    </w:rPr>
                  </w:pPr>
                </w:p>
              </w:tc>
              <w:tc>
                <w:tcPr>
                  <w:tcW w:w="5711" w:type="dxa"/>
                  <w:shd w:val="clear" w:color="auto" w:fill="auto"/>
                  <w:vAlign w:val="center"/>
                </w:tcPr>
                <w:p>
                  <w:pPr>
                    <w:pStyle w:val="15"/>
                    <w:numPr>
                      <w:ilvl w:val="0"/>
                      <w:numId w:val="10"/>
                    </w:numPr>
                    <w:ind w:left="0" w:firstLine="0" w:firstLineChars="0"/>
                    <w:rPr>
                      <w:rFonts w:ascii="宋体" w:hAnsi="宋体" w:eastAsia="宋体"/>
                      <w:szCs w:val="21"/>
                    </w:rPr>
                  </w:pPr>
                  <w:r>
                    <w:rPr>
                      <w:rFonts w:hint="eastAsia" w:ascii="宋体" w:hAnsi="宋体" w:eastAsia="宋体"/>
                      <w:szCs w:val="21"/>
                    </w:rPr>
                    <w:t>支持图像调节功能，可根据显示图像的效果调整图像的颜色、亮度、对比度、伽马值。使用1:1模式，快速以最大扫描倍数打开数字切片，操作快捷数字切片浏览界面与病理诊断录入界面支持双屏功能。提取病理数字切片缩略图、标签图、概览图，并能通过缩略图导航查看切片。</w:t>
                  </w:r>
                </w:p>
              </w:tc>
              <w:tc>
                <w:tcPr>
                  <w:tcW w:w="825" w:type="dxa"/>
                  <w:vMerge w:val="continue"/>
                  <w:shd w:val="clear" w:color="auto" w:fill="auto"/>
                  <w:vAlign w:val="center"/>
                </w:tcPr>
                <w:p>
                  <w:pPr>
                    <w:jc w:val="center"/>
                    <w:rPr>
                      <w:rFonts w:ascii="宋体" w:hAnsi="宋体" w:eastAsia="宋体"/>
                      <w:szCs w:val="21"/>
                    </w:rPr>
                  </w:pPr>
                </w:p>
              </w:tc>
              <w:tc>
                <w:tcPr>
                  <w:tcW w:w="1184" w:type="dxa"/>
                  <w:vMerge w:val="continue"/>
                  <w:tcBorders/>
                  <w:shd w:val="clear" w:color="auto" w:fill="auto"/>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016"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样本库管理工作站软件</w:t>
                  </w:r>
                </w:p>
              </w:tc>
              <w:tc>
                <w:tcPr>
                  <w:tcW w:w="1222"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容器空间管理模块</w:t>
                  </w:r>
                </w:p>
              </w:tc>
              <w:tc>
                <w:tcPr>
                  <w:tcW w:w="5711" w:type="dxa"/>
                  <w:shd w:val="clear" w:color="auto" w:fill="D7D7D7" w:themeFill="background1" w:themeFillShade="D8"/>
                  <w:vAlign w:val="center"/>
                </w:tcPr>
                <w:p>
                  <w:pPr>
                    <w:pStyle w:val="15"/>
                    <w:numPr>
                      <w:ilvl w:val="0"/>
                      <w:numId w:val="11"/>
                    </w:numPr>
                    <w:ind w:left="0" w:firstLine="0" w:firstLineChars="0"/>
                    <w:rPr>
                      <w:rFonts w:ascii="宋体" w:hAnsi="宋体" w:eastAsia="宋体"/>
                      <w:szCs w:val="21"/>
                    </w:rPr>
                  </w:pPr>
                  <w:r>
                    <w:rPr>
                      <w:rFonts w:hint="eastAsia" w:ascii="宋体" w:hAnsi="宋体" w:eastAsia="宋体"/>
                      <w:szCs w:val="21"/>
                    </w:rPr>
                    <w:t>系统可由操作人员自定义空间结构：常温（切片柜、石蜡柜）、4℃冰箱、-20℃冰箱、-80℃冰箱、-150℃冰箱、气相液氮罐等不同存储容器、不同冻存管配套冻存盒及冻存架对应的空间分区及结构。系统能以图形化的方式模拟显示实际分区、容器、冻存盒等的结构，并有具体到每一样本的概括性说明。</w:t>
                  </w:r>
                </w:p>
              </w:tc>
              <w:tc>
                <w:tcPr>
                  <w:tcW w:w="825"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1套</w:t>
                  </w:r>
                </w:p>
              </w:tc>
              <w:tc>
                <w:tcPr>
                  <w:tcW w:w="1184" w:type="dxa"/>
                  <w:vMerge w:val="restart"/>
                  <w:shd w:val="clear" w:color="auto" w:fill="D7D7D7" w:themeFill="background1" w:themeFillShade="D8"/>
                  <w:vAlign w:val="center"/>
                </w:tcPr>
                <w:p>
                  <w:pPr>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016" w:type="dxa"/>
                  <w:vMerge w:val="continue"/>
                  <w:shd w:val="clear" w:color="auto" w:fill="D7D7D7" w:themeFill="background1" w:themeFillShade="D8"/>
                  <w:vAlign w:val="center"/>
                </w:tcPr>
                <w:p>
                  <w:pPr>
                    <w:jc w:val="cente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11"/>
                    </w:numPr>
                    <w:ind w:left="0" w:firstLine="0" w:firstLineChars="0"/>
                    <w:rPr>
                      <w:rFonts w:ascii="宋体" w:hAnsi="宋体" w:eastAsia="宋体"/>
                      <w:szCs w:val="21"/>
                    </w:rPr>
                  </w:pPr>
                  <w:r>
                    <w:rPr>
                      <w:rFonts w:hint="eastAsia" w:ascii="宋体" w:hAnsi="宋体" w:eastAsia="宋体"/>
                      <w:szCs w:val="21"/>
                    </w:rPr>
                    <w:t>系统可同时支持液氮罐架子盒子排列顺向或逆向排序编号。</w:t>
                  </w:r>
                </w:p>
                <w:p>
                  <w:pPr>
                    <w:pStyle w:val="15"/>
                    <w:ind w:firstLine="0" w:firstLineChars="0"/>
                    <w:rPr>
                      <w:rFonts w:ascii="宋体" w:hAnsi="宋体" w:eastAsia="宋体"/>
                      <w:szCs w:val="21"/>
                    </w:rPr>
                  </w:pPr>
                  <w:r>
                    <w:rPr>
                      <w:rFonts w:hint="eastAsia" w:ascii="宋体" w:hAnsi="宋体" w:eastAsia="宋体"/>
                      <w:szCs w:val="21"/>
                    </w:rPr>
                    <w:t>系统可分别设置每个冻存架的预设标本类型和样本类型参数。系统可实现冻存容器访问权限控制。系统需具备可视化图形显示存储空间功能，可展示出全部冰箱、液氮罐的空间情况</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采集登记管理模块</w:t>
                  </w:r>
                </w:p>
              </w:tc>
              <w:tc>
                <w:tcPr>
                  <w:tcW w:w="5711" w:type="dxa"/>
                  <w:shd w:val="clear" w:color="auto" w:fill="D7D7D7" w:themeFill="background1" w:themeFillShade="D8"/>
                  <w:vAlign w:val="center"/>
                </w:tcPr>
                <w:p>
                  <w:pPr>
                    <w:pStyle w:val="15"/>
                    <w:numPr>
                      <w:ilvl w:val="0"/>
                      <w:numId w:val="12"/>
                    </w:numPr>
                    <w:ind w:left="0" w:firstLine="0" w:firstLineChars="0"/>
                    <w:rPr>
                      <w:rFonts w:ascii="宋体" w:hAnsi="宋体" w:eastAsia="宋体"/>
                      <w:szCs w:val="21"/>
                    </w:rPr>
                  </w:pPr>
                  <w:r>
                    <w:rPr>
                      <w:rFonts w:hint="eastAsia" w:ascii="宋体" w:hAnsi="宋体" w:eastAsia="宋体"/>
                      <w:szCs w:val="21"/>
                    </w:rPr>
                    <w:t>系统可手工登记入库样本源基本信息。支持从EXCEL文件中批量抓取样本源基本信息。系统需实现自动识别不同项目或分库（组织库、血液库等）中同一捐赠者标本号。</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12"/>
                    </w:numPr>
                    <w:ind w:left="0" w:firstLine="0" w:firstLineChars="0"/>
                    <w:rPr>
                      <w:rFonts w:ascii="宋体" w:hAnsi="宋体" w:eastAsia="宋体"/>
                      <w:szCs w:val="21"/>
                    </w:rPr>
                  </w:pPr>
                  <w:r>
                    <w:rPr>
                      <w:rFonts w:hint="eastAsia" w:ascii="宋体" w:hAnsi="宋体" w:eastAsia="宋体"/>
                      <w:szCs w:val="21"/>
                    </w:rPr>
                    <w:t>系统可对多次入院病人（或体检者）进行自动识别，鉴别是否为同一捐赠者，并在登记界面显示同一捐赠者的不同批次标本号。系统提供图像管理功能，支持多图片批量上传、图像分类、图像备注等功能，系统图像压缩功能，自动按最优的整数倍进行无损压缩。</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12"/>
                    </w:numPr>
                    <w:ind w:left="0" w:firstLine="0" w:firstLineChars="0"/>
                    <w:rPr>
                      <w:rFonts w:ascii="宋体" w:hAnsi="宋体" w:eastAsia="宋体"/>
                      <w:szCs w:val="21"/>
                    </w:rPr>
                  </w:pPr>
                  <w:r>
                    <w:rPr>
                      <w:rFonts w:hint="eastAsia" w:ascii="宋体" w:hAnsi="宋体" w:eastAsia="宋体"/>
                      <w:szCs w:val="21"/>
                    </w:rPr>
                    <w:t>登记时标本号可按照当前库类型的编号规则自动升位，也可手工调整。系统可根据样本所属分库及样本类型对样本设置不同的分装参数，录入时自动生成。</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入库管理模块</w:t>
                  </w:r>
                </w:p>
              </w:tc>
              <w:tc>
                <w:tcPr>
                  <w:tcW w:w="5711" w:type="dxa"/>
                  <w:shd w:val="clear" w:color="auto" w:fill="D7D7D7" w:themeFill="background1" w:themeFillShade="D8"/>
                  <w:vAlign w:val="center"/>
                </w:tcPr>
                <w:p>
                  <w:pPr>
                    <w:pStyle w:val="15"/>
                    <w:numPr>
                      <w:ilvl w:val="0"/>
                      <w:numId w:val="13"/>
                    </w:numPr>
                    <w:ind w:left="0" w:firstLine="0" w:firstLineChars="0"/>
                    <w:rPr>
                      <w:rFonts w:ascii="宋体" w:hAnsi="宋体" w:eastAsia="宋体"/>
                      <w:szCs w:val="21"/>
                    </w:rPr>
                  </w:pPr>
                  <w:r>
                    <w:rPr>
                      <w:rFonts w:hint="eastAsia" w:ascii="宋体" w:hAnsi="宋体" w:eastAsia="宋体"/>
                      <w:szCs w:val="21"/>
                    </w:rPr>
                    <w:t>根据样本类型、储存形式、分装份数等，扫描条形码或二维码可自动生成样本编号，并自动定位样本存放位置，同时，定位功能在软件中精确显示样本存放空间位置。系统提供组织标本与血样标本的配对管理功能。入库时样本暂存空间及最终入库位置可同时生成，并显示在一个界面，便于转运后的直接入库。</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13"/>
                    </w:numPr>
                    <w:ind w:left="0" w:firstLine="0" w:firstLineChars="0"/>
                    <w:rPr>
                      <w:rFonts w:ascii="宋体" w:hAnsi="宋体" w:eastAsia="宋体"/>
                      <w:szCs w:val="21"/>
                    </w:rPr>
                  </w:pPr>
                  <w:r>
                    <w:rPr>
                      <w:rFonts w:hint="eastAsia" w:ascii="宋体" w:hAnsi="宋体" w:eastAsia="宋体"/>
                      <w:szCs w:val="21"/>
                    </w:rPr>
                    <w:t>系统可采用贴码管、预置管等多种方式入库。系统可支持样品预录入功能(只录入样品信息，暂不指定存储位置) 。系统可根据不同存储需求对冰箱、液氮罐及冻存架进行分类定义，适用于对不同分库、不同类型的标本、不同冻存管类型进行分区域存放。系统可按库类型自定义批量输入模板进行模板入库，并可与手动单个样本入库灵活切换。系统在样本入库时可提供样本分析前变量的相关信息的录入。</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信息管理自定义模块</w:t>
                  </w:r>
                </w:p>
              </w:tc>
              <w:tc>
                <w:tcPr>
                  <w:tcW w:w="5711" w:type="dxa"/>
                  <w:shd w:val="clear" w:color="auto" w:fill="D7D7D7" w:themeFill="background1" w:themeFillShade="D8"/>
                  <w:vAlign w:val="center"/>
                </w:tcPr>
                <w:p>
                  <w:pPr>
                    <w:pStyle w:val="15"/>
                    <w:numPr>
                      <w:ilvl w:val="0"/>
                      <w:numId w:val="13"/>
                    </w:numPr>
                    <w:ind w:left="0" w:firstLine="0" w:firstLineChars="0"/>
                    <w:rPr>
                      <w:rFonts w:ascii="宋体" w:hAnsi="宋体" w:eastAsia="宋体"/>
                      <w:szCs w:val="21"/>
                    </w:rPr>
                  </w:pPr>
                  <w:r>
                    <w:rPr>
                      <w:rFonts w:hint="eastAsia" w:ascii="宋体" w:hAnsi="宋体" w:eastAsia="宋体"/>
                      <w:szCs w:val="21"/>
                    </w:rPr>
                    <w:t>系统可以分不同的库类型如“血液库”、“体液库”、“项目库”等分别独立管理样本，查询时根据权限自动匹配并显示同一捐赠者在不同库的所有样本信息。系统可根据样本类型对样本设置不同的分装参数。系统支持预设临床信息和样本信息的常用相关字段。系统能支持样本的基本信息管理，支持用户对样本信息结构和字段内容的自定义以及样本信息的导出。</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查询统计模块</w:t>
                  </w:r>
                </w:p>
              </w:tc>
              <w:tc>
                <w:tcPr>
                  <w:tcW w:w="5711" w:type="dxa"/>
                  <w:shd w:val="clear" w:color="auto" w:fill="D7D7D7" w:themeFill="background1" w:themeFillShade="D8"/>
                  <w:vAlign w:val="center"/>
                </w:tcPr>
                <w:p>
                  <w:pPr>
                    <w:pStyle w:val="15"/>
                    <w:numPr>
                      <w:ilvl w:val="0"/>
                      <w:numId w:val="14"/>
                    </w:numPr>
                    <w:ind w:left="0" w:firstLine="0" w:firstLineChars="0"/>
                    <w:rPr>
                      <w:rFonts w:ascii="宋体" w:hAnsi="宋体" w:eastAsia="宋体"/>
                      <w:szCs w:val="21"/>
                    </w:rPr>
                  </w:pPr>
                  <w:r>
                    <w:rPr>
                      <w:rFonts w:hint="eastAsia" w:ascii="宋体" w:hAnsi="宋体" w:eastAsia="宋体"/>
                      <w:szCs w:val="21"/>
                    </w:rPr>
                    <w:t>可针对样本库系统中的各类条件任意组合来进行样本的筛选；并可在不同库中交叉查询，统计同一捐赠者所有类型及所有批次样本信息。系统可统计配对和不配对的样本清单，并可以进一步数据挖掘详细列表。系统提供“交叉库”查询功能，针对“组织库”、“血库”等不同库类型，可查找在交叉库中均有冻存管储存的更有价值的标本信息。</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14"/>
                    </w:numPr>
                    <w:ind w:left="0" w:firstLine="0" w:firstLineChars="0"/>
                    <w:rPr>
                      <w:rFonts w:ascii="宋体" w:hAnsi="宋体" w:eastAsia="宋体"/>
                      <w:szCs w:val="21"/>
                    </w:rPr>
                  </w:pPr>
                  <w:r>
                    <w:rPr>
                      <w:rFonts w:hint="eastAsia" w:ascii="宋体" w:hAnsi="宋体" w:eastAsia="宋体"/>
                      <w:szCs w:val="21"/>
                    </w:rPr>
                    <w:t>可按样本类型统计出某时间段每个取样员的管数和例数。</w:t>
                  </w:r>
                </w:p>
                <w:p>
                  <w:pPr>
                    <w:rPr>
                      <w:rFonts w:ascii="宋体" w:hAnsi="宋体" w:eastAsia="宋体"/>
                      <w:szCs w:val="21"/>
                    </w:rPr>
                  </w:pPr>
                  <w:r>
                    <w:rPr>
                      <w:rFonts w:hint="eastAsia" w:ascii="宋体" w:hAnsi="宋体" w:eastAsia="宋体"/>
                      <w:szCs w:val="21"/>
                    </w:rPr>
                    <w:t>系统可按标本来源、样本类型或自定义字段多维度组合的管数、例数统计。系统可查看生物样本库存总体情况并提供图表方式显示，(例：按照日期、库类型、标本类型、样本类型、样本来源等)来查看样本库存总体情况。</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14"/>
                    </w:numPr>
                    <w:ind w:left="0" w:firstLine="0" w:firstLineChars="0"/>
                    <w:rPr>
                      <w:rFonts w:ascii="宋体" w:hAnsi="宋体" w:eastAsia="宋体"/>
                      <w:szCs w:val="21"/>
                    </w:rPr>
                  </w:pPr>
                  <w:r>
                    <w:rPr>
                      <w:rFonts w:hint="eastAsia" w:ascii="宋体" w:hAnsi="宋体" w:eastAsia="宋体"/>
                      <w:szCs w:val="21"/>
                    </w:rPr>
                    <w:t>系统可直接生成高版本excel文件(XLSX格式)，导出时可以选择导出字段，并可保存字段组合设置，以备第二次导出时直接选好。可对样本的出库比例进行统计，同时可针对不同的病种，样本的类型等要素对每一小类的样本出库率进行统计，同时管理员可设定提示预置，进行报警提示；总体样本的入库/月，出库/月统计。</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出库管理模块</w:t>
                  </w:r>
                </w:p>
              </w:tc>
              <w:tc>
                <w:tcPr>
                  <w:tcW w:w="5711" w:type="dxa"/>
                  <w:shd w:val="clear" w:color="auto" w:fill="D7D7D7" w:themeFill="background1" w:themeFillShade="D8"/>
                  <w:vAlign w:val="center"/>
                </w:tcPr>
                <w:p>
                  <w:pPr>
                    <w:pStyle w:val="15"/>
                    <w:numPr>
                      <w:ilvl w:val="0"/>
                      <w:numId w:val="15"/>
                    </w:numPr>
                    <w:ind w:left="0" w:firstLine="0" w:firstLineChars="0"/>
                    <w:rPr>
                      <w:rFonts w:ascii="宋体" w:hAnsi="宋体" w:eastAsia="宋体"/>
                      <w:szCs w:val="21"/>
                    </w:rPr>
                  </w:pPr>
                  <w:r>
                    <w:rPr>
                      <w:rFonts w:hint="eastAsia" w:ascii="宋体" w:hAnsi="宋体" w:eastAsia="宋体"/>
                      <w:szCs w:val="21"/>
                    </w:rPr>
                    <w:t>针对出库而开展的样本查询，可按照：“每样一支冻存管”等条件来筛选，方便进行批量取用；在本次申请批次，库存例数大于领取数时，按照分样数多的排序提示优先出库；支持样本出库后再存入（保留/不保留位置）、出库后不再存入（保留/不保留样本信息）和出库后直接存入等5种不同的出库方式。</w:t>
                  </w:r>
                </w:p>
                <w:p>
                  <w:pPr>
                    <w:rPr>
                      <w:rFonts w:ascii="宋体" w:hAnsi="宋体" w:eastAsia="宋体"/>
                      <w:szCs w:val="21"/>
                    </w:rPr>
                  </w:pPr>
                  <w:r>
                    <w:rPr>
                      <w:rFonts w:hint="eastAsia" w:ascii="宋体" w:hAnsi="宋体" w:eastAsia="宋体"/>
                      <w:szCs w:val="21"/>
                    </w:rPr>
                    <w:t>样本使用申请得到审批后系统可对选定的样本进行锁定及解锁。提供备份管过滤功能，只余一份样本者做为备份保存（如保证重大项目的复验所需），不列入样本清单。系统具有样本批量出库扫描二次确认功能，用户可进行批量取用情况的记录。</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15"/>
                    </w:numPr>
                    <w:ind w:left="0" w:firstLine="0" w:firstLineChars="0"/>
                    <w:rPr>
                      <w:rFonts w:ascii="宋体" w:hAnsi="宋体" w:eastAsia="宋体"/>
                      <w:szCs w:val="21"/>
                    </w:rPr>
                  </w:pPr>
                  <w:r>
                    <w:rPr>
                      <w:rFonts w:hint="eastAsia" w:ascii="宋体" w:hAnsi="宋体" w:eastAsia="宋体"/>
                      <w:szCs w:val="21"/>
                    </w:rPr>
                    <w:t>可根据不同的样本类型设置样本的预警数量，同时可以设定样本库中样本的状态(禁用、开放等),保证样本库中常规留取一定数量的样本。系统可实现用户任意创建属于自己可见的“领取清单”，把不同位置存放的样本放置于清单内，并打印出清单，对照清单在冰箱内取放样本。</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15"/>
                    </w:numPr>
                    <w:ind w:left="0" w:firstLine="0" w:firstLineChars="0"/>
                    <w:rPr>
                      <w:rFonts w:ascii="宋体" w:hAnsi="宋体" w:eastAsia="宋体"/>
                      <w:szCs w:val="21"/>
                    </w:rPr>
                  </w:pPr>
                  <w:r>
                    <w:rPr>
                      <w:rFonts w:hint="eastAsia" w:ascii="宋体" w:hAnsi="宋体" w:eastAsia="宋体"/>
                      <w:szCs w:val="21"/>
                    </w:rPr>
                    <w:t>系统可查询某项目已出库样本管情况，并可进行追加出库</w:t>
                  </w:r>
                </w:p>
                <w:p>
                  <w:pPr>
                    <w:rPr>
                      <w:rFonts w:ascii="宋体" w:hAnsi="宋体" w:eastAsia="宋体"/>
                      <w:szCs w:val="21"/>
                    </w:rPr>
                  </w:pPr>
                  <w:r>
                    <w:rPr>
                      <w:rFonts w:hint="eastAsia" w:ascii="宋体" w:hAnsi="宋体" w:eastAsia="宋体"/>
                      <w:szCs w:val="21"/>
                    </w:rPr>
                    <w:t>系统提供项目登记与审批管理功能，系统能记录样本出库合作项目必需的重要信息和审批情况。系统可实现科研项目样本出库后实验数据返回记录及衍生样本的再入库。系统可进行支持科研项目成果管理。</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还库管理模块</w:t>
                  </w:r>
                </w:p>
              </w:tc>
              <w:tc>
                <w:tcPr>
                  <w:tcW w:w="5711" w:type="dxa"/>
                  <w:shd w:val="clear" w:color="auto" w:fill="D7D7D7" w:themeFill="background1" w:themeFillShade="D8"/>
                  <w:vAlign w:val="center"/>
                </w:tcPr>
                <w:p>
                  <w:pPr>
                    <w:pStyle w:val="15"/>
                    <w:numPr>
                      <w:ilvl w:val="0"/>
                      <w:numId w:val="16"/>
                    </w:numPr>
                    <w:ind w:firstLineChars="0"/>
                    <w:rPr>
                      <w:rFonts w:ascii="宋体" w:hAnsi="宋体" w:eastAsia="宋体"/>
                      <w:szCs w:val="21"/>
                    </w:rPr>
                  </w:pPr>
                  <w:r>
                    <w:rPr>
                      <w:rFonts w:hint="eastAsia" w:ascii="宋体" w:hAnsi="宋体" w:eastAsia="宋体"/>
                      <w:szCs w:val="21"/>
                    </w:rPr>
                    <w:t>系统能查看到未归还的样本记录以及所归还样本的剩余量。</w:t>
                  </w:r>
                </w:p>
                <w:p>
                  <w:pPr>
                    <w:rPr>
                      <w:rFonts w:ascii="宋体" w:hAnsi="宋体" w:eastAsia="宋体"/>
                      <w:szCs w:val="21"/>
                    </w:rPr>
                  </w:pPr>
                  <w:r>
                    <w:rPr>
                      <w:rFonts w:hint="eastAsia" w:ascii="宋体" w:hAnsi="宋体" w:eastAsia="宋体"/>
                      <w:szCs w:val="21"/>
                    </w:rPr>
                    <w:t>系统在还库时自动记录样本的冻融次数。、系统支持用户方便查看以往批次的还库信息。样本处理后归还时，系统中可方便还库样本的再入库，可重新定义样本相关信息。系统能通过条形码或二维码定位功能在软件中精确标出存放空间位置。</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质控数据管理模块</w:t>
                  </w:r>
                </w:p>
              </w:tc>
              <w:tc>
                <w:tcPr>
                  <w:tcW w:w="5711" w:type="dxa"/>
                  <w:shd w:val="clear" w:color="auto" w:fill="D7D7D7" w:themeFill="background1" w:themeFillShade="D8"/>
                  <w:vAlign w:val="center"/>
                </w:tcPr>
                <w:p>
                  <w:pPr>
                    <w:pStyle w:val="15"/>
                    <w:numPr>
                      <w:ilvl w:val="0"/>
                      <w:numId w:val="17"/>
                    </w:numPr>
                    <w:ind w:left="0" w:firstLine="0" w:firstLineChars="0"/>
                    <w:rPr>
                      <w:rFonts w:ascii="宋体" w:hAnsi="宋体" w:eastAsia="宋体"/>
                      <w:szCs w:val="21"/>
                    </w:rPr>
                  </w:pPr>
                  <w:r>
                    <w:rPr>
                      <w:rFonts w:hint="eastAsia" w:ascii="宋体" w:hAnsi="宋体" w:eastAsia="宋体"/>
                      <w:szCs w:val="21"/>
                    </w:rPr>
                    <w:t>可根据自定义抽样模式并生成质控清单，并锁定相关样本，将其标记为质控样本。质控结果自动溯源匹配来源。可定期按比例随机选取指定量的样本进行质控，自动生成质控清单，并锁定相关样本，将其标记为质控样本，使用特殊颜色显示。对质控不合格样本，排除试剂因素后，系统对其再次进行抽样质控。根据再次质控结果选择清除相应样本。系统可进行文件控制管理（包括文件创建、批准、生效、发布、变更、完成、废止、回收、销毁等状态）。</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17"/>
                    </w:numPr>
                    <w:ind w:left="0" w:firstLine="0" w:firstLineChars="0"/>
                    <w:rPr>
                      <w:rFonts w:ascii="宋体" w:hAnsi="宋体" w:eastAsia="宋体"/>
                      <w:szCs w:val="21"/>
                    </w:rPr>
                  </w:pPr>
                  <w:r>
                    <w:rPr>
                      <w:rFonts w:hint="eastAsia" w:ascii="宋体" w:hAnsi="宋体" w:eastAsia="宋体"/>
                      <w:szCs w:val="21"/>
                    </w:rPr>
                    <w:t>系统可进行质量体系、标准操作规程文档管理（登记、查阅）。</w:t>
                  </w:r>
                </w:p>
                <w:p>
                  <w:pPr>
                    <w:rPr>
                      <w:rFonts w:ascii="宋体" w:hAnsi="宋体" w:eastAsia="宋体"/>
                      <w:szCs w:val="21"/>
                    </w:rPr>
                  </w:pPr>
                  <w:r>
                    <w:rPr>
                      <w:rFonts w:hint="eastAsia" w:ascii="宋体" w:hAnsi="宋体" w:eastAsia="宋体"/>
                      <w:szCs w:val="21"/>
                    </w:rPr>
                    <w:t>系统进行不合格标本管理功能，对不符合SOP规则的标本进行登记处理，并能进行不合格标本查询统计。系统可记录样本收集、处理、储存过程的分析前变量，自动生成国际通用的SPREC代码，为今后样本合作流通及流程持续改进提供重要证据。系统可进行知情同意书拍照存档管理。系统可溯源样本衍生品数据信息。</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二维码标签管理模块</w:t>
                  </w:r>
                </w:p>
              </w:tc>
              <w:tc>
                <w:tcPr>
                  <w:tcW w:w="5711" w:type="dxa"/>
                  <w:shd w:val="clear" w:color="auto" w:fill="D7D7D7" w:themeFill="background1" w:themeFillShade="D8"/>
                  <w:vAlign w:val="center"/>
                </w:tcPr>
                <w:p>
                  <w:pPr>
                    <w:pStyle w:val="15"/>
                    <w:numPr>
                      <w:ilvl w:val="0"/>
                      <w:numId w:val="18"/>
                    </w:numPr>
                    <w:ind w:firstLineChars="0"/>
                    <w:rPr>
                      <w:rFonts w:ascii="宋体" w:hAnsi="宋体" w:eastAsia="宋体"/>
                      <w:szCs w:val="21"/>
                    </w:rPr>
                  </w:pPr>
                  <w:r>
                    <w:rPr>
                      <w:rFonts w:hint="eastAsia" w:ascii="宋体" w:hAnsi="宋体" w:eastAsia="宋体"/>
                      <w:szCs w:val="21"/>
                    </w:rPr>
                    <w:t>系统可以图形化所见即所得的形式设计样本管标签。</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18"/>
                    </w:numPr>
                    <w:ind w:left="0" w:firstLine="0" w:firstLineChars="0"/>
                    <w:rPr>
                      <w:rFonts w:ascii="宋体" w:hAnsi="宋体" w:eastAsia="宋体"/>
                      <w:szCs w:val="21"/>
                    </w:rPr>
                  </w:pPr>
                  <w:r>
                    <w:rPr>
                      <w:rFonts w:hint="eastAsia" w:ascii="宋体" w:hAnsi="宋体" w:eastAsia="宋体"/>
                      <w:szCs w:val="21"/>
                    </w:rPr>
                    <w:t>系统直接使用Windows字库，不需要标签打印机上另加汉字库。系统可以联接贝迪、斑马标签打印机，既可打印DM码，也可以打印QR码。系统可以设计多种样本管标签，并且可以根据标本类型自动切换。系统可自动对应多台打印机,不同任务指向不同的打印机。更改或移动打印机后，系统不需要调整标签位置参数</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restart"/>
                  <w:shd w:val="clear" w:color="auto" w:fill="D7D7D7" w:themeFill="background1" w:themeFillShade="D8"/>
                  <w:vAlign w:val="center"/>
                </w:tcPr>
                <w:p>
                  <w:pPr>
                    <w:jc w:val="center"/>
                    <w:rPr>
                      <w:rFonts w:ascii="宋体" w:hAnsi="宋体" w:eastAsia="宋体"/>
                      <w:szCs w:val="21"/>
                    </w:rPr>
                  </w:pPr>
                  <w:r>
                    <w:rPr>
                      <w:rFonts w:hint="eastAsia" w:ascii="宋体" w:hAnsi="宋体" w:eastAsia="宋体"/>
                      <w:szCs w:val="21"/>
                    </w:rPr>
                    <w:t>安全性管理</w:t>
                  </w:r>
                </w:p>
              </w:tc>
              <w:tc>
                <w:tcPr>
                  <w:tcW w:w="5711" w:type="dxa"/>
                  <w:shd w:val="clear" w:color="auto" w:fill="D7D7D7" w:themeFill="background1" w:themeFillShade="D8"/>
                  <w:vAlign w:val="center"/>
                </w:tcPr>
                <w:p>
                  <w:pPr>
                    <w:pStyle w:val="15"/>
                    <w:numPr>
                      <w:ilvl w:val="0"/>
                      <w:numId w:val="19"/>
                    </w:numPr>
                    <w:ind w:left="0" w:firstLine="0" w:firstLineChars="0"/>
                    <w:rPr>
                      <w:rFonts w:ascii="宋体" w:hAnsi="宋体" w:eastAsia="宋体"/>
                      <w:szCs w:val="21"/>
                    </w:rPr>
                  </w:pPr>
                  <w:r>
                    <w:rPr>
                      <w:rFonts w:hint="eastAsia" w:ascii="宋体" w:hAnsi="宋体" w:eastAsia="宋体"/>
                      <w:szCs w:val="21"/>
                    </w:rPr>
                    <w:t>系统对每一环节的操作有日志记录，可详细记录用户登录、IP地址、对数据的增减操作等信息。系统支持用户通过多种方式查看日志信息。系统支持数据库的自动备份。</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19"/>
                    </w:numPr>
                    <w:ind w:left="0" w:firstLine="0" w:firstLineChars="0"/>
                    <w:rPr>
                      <w:rFonts w:ascii="宋体" w:hAnsi="宋体" w:eastAsia="宋体"/>
                      <w:szCs w:val="21"/>
                    </w:rPr>
                  </w:pPr>
                  <w:r>
                    <w:rPr>
                      <w:rFonts w:hint="eastAsia" w:ascii="宋体" w:hAnsi="宋体" w:eastAsia="宋体"/>
                      <w:szCs w:val="21"/>
                    </w:rPr>
                    <w:t>系统可自定义用户权限、自定义权限类别。系统通过设定不同的用户角色来对应不同的管理和使用权限，控制样本录入、冻存管核对、样本复核、冻存管转移、用户管理、系统设置等用户活动。系统有完善的用户-角色权限体系，用户权限由分配给此用户的角色决定，一个用户可以有多个角色。</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16" w:type="dxa"/>
                  <w:vMerge w:val="continue"/>
                  <w:shd w:val="clear" w:color="auto" w:fill="D7D7D7" w:themeFill="background1" w:themeFillShade="D8"/>
                  <w:vAlign w:val="center"/>
                </w:tcPr>
                <w:p>
                  <w:pPr>
                    <w:rPr>
                      <w:rFonts w:ascii="宋体" w:hAnsi="宋体" w:eastAsia="宋体"/>
                      <w:szCs w:val="21"/>
                    </w:rPr>
                  </w:pPr>
                </w:p>
              </w:tc>
              <w:tc>
                <w:tcPr>
                  <w:tcW w:w="1222" w:type="dxa"/>
                  <w:vMerge w:val="continue"/>
                  <w:shd w:val="clear" w:color="auto" w:fill="D7D7D7" w:themeFill="background1" w:themeFillShade="D8"/>
                  <w:vAlign w:val="center"/>
                </w:tcPr>
                <w:p>
                  <w:pPr>
                    <w:jc w:val="center"/>
                    <w:rPr>
                      <w:rFonts w:ascii="宋体" w:hAnsi="宋体" w:eastAsia="宋体"/>
                      <w:szCs w:val="21"/>
                    </w:rPr>
                  </w:pPr>
                </w:p>
              </w:tc>
              <w:tc>
                <w:tcPr>
                  <w:tcW w:w="5711" w:type="dxa"/>
                  <w:shd w:val="clear" w:color="auto" w:fill="D7D7D7" w:themeFill="background1" w:themeFillShade="D8"/>
                  <w:vAlign w:val="center"/>
                </w:tcPr>
                <w:p>
                  <w:pPr>
                    <w:pStyle w:val="15"/>
                    <w:numPr>
                      <w:ilvl w:val="0"/>
                      <w:numId w:val="19"/>
                    </w:numPr>
                    <w:ind w:left="0" w:firstLine="0" w:firstLineChars="0"/>
                    <w:rPr>
                      <w:rFonts w:ascii="宋体" w:hAnsi="宋体" w:eastAsia="宋体"/>
                      <w:szCs w:val="21"/>
                    </w:rPr>
                  </w:pPr>
                  <w:r>
                    <w:rPr>
                      <w:rFonts w:hint="eastAsia" w:ascii="宋体" w:hAnsi="宋体" w:eastAsia="宋体"/>
                      <w:szCs w:val="21"/>
                    </w:rPr>
                    <w:t>可为用户帐号设置有效期限，期限到期之后，该帐号不能登陆系统。系统需具备自动锁屏功能，解锁后，不影响原数据状态。系统可提供信息假匿名处理功能系统可提供冻融次数、样本容量、到期日期、最后一管等预警管理功能。</w:t>
                  </w:r>
                </w:p>
              </w:tc>
              <w:tc>
                <w:tcPr>
                  <w:tcW w:w="825" w:type="dxa"/>
                  <w:vMerge w:val="continue"/>
                  <w:shd w:val="clear" w:color="auto" w:fill="D7D7D7" w:themeFill="background1" w:themeFillShade="D8"/>
                  <w:vAlign w:val="center"/>
                </w:tcPr>
                <w:p>
                  <w:pPr>
                    <w:jc w:val="center"/>
                    <w:rPr>
                      <w:rFonts w:ascii="宋体" w:hAnsi="宋体" w:eastAsia="宋体"/>
                      <w:szCs w:val="21"/>
                    </w:rPr>
                  </w:pPr>
                </w:p>
              </w:tc>
              <w:tc>
                <w:tcPr>
                  <w:tcW w:w="1184" w:type="dxa"/>
                  <w:vMerge w:val="continue"/>
                  <w:tcBorders/>
                  <w:shd w:val="clear" w:color="auto" w:fill="D7D7D7" w:themeFill="background1" w:themeFillShade="D8"/>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38"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其他要求</w:t>
                  </w:r>
                </w:p>
              </w:tc>
              <w:tc>
                <w:tcPr>
                  <w:tcW w:w="6536" w:type="dxa"/>
                  <w:gridSpan w:val="2"/>
                  <w:shd w:val="clear" w:color="auto" w:fill="auto"/>
                  <w:vAlign w:val="center"/>
                </w:tcPr>
                <w:p>
                  <w:pPr>
                    <w:jc w:val="left"/>
                    <w:rPr>
                      <w:rFonts w:ascii="宋体" w:hAnsi="宋体" w:eastAsia="宋体"/>
                      <w:szCs w:val="21"/>
                    </w:rPr>
                  </w:pPr>
                  <w:r>
                    <w:rPr>
                      <w:rFonts w:hint="eastAsia" w:hAnsi="宋体"/>
                    </w:rPr>
                    <w:t>包含与病理科现用病理系统对接费用。</w:t>
                  </w:r>
                </w:p>
              </w:tc>
              <w:tc>
                <w:tcPr>
                  <w:tcW w:w="1184" w:type="dxa"/>
                  <w:shd w:val="clear" w:color="auto" w:fill="auto"/>
                  <w:vAlign w:val="center"/>
                </w:tcPr>
                <w:p>
                  <w:pPr>
                    <w:jc w:val="left"/>
                    <w:rPr>
                      <w:rFonts w:hint="eastAsia" w:hAnsi="宋体"/>
                    </w:rPr>
                  </w:pPr>
                </w:p>
              </w:tc>
            </w:tr>
          </w:tbl>
          <w:p>
            <w:pPr>
              <w:pStyle w:val="15"/>
              <w:numPr>
                <w:ilvl w:val="0"/>
                <w:numId w:val="20"/>
              </w:numPr>
              <w:ind w:firstLineChars="0"/>
              <w:rPr>
                <w:b/>
                <w:color w:val="FF000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12" w:hRule="atLeast"/>
          <w:tblCellSpacing w:w="0" w:type="dxa"/>
          <w:jc w:val="center"/>
        </w:trPr>
        <w:tc>
          <w:tcPr>
            <w:tcW w:w="891" w:type="dxa"/>
            <w:tcBorders>
              <w:top w:val="single" w:color="auto" w:sz="6" w:space="0"/>
              <w:left w:val="single" w:color="auto" w:sz="6" w:space="0"/>
              <w:bottom w:val="nil"/>
              <w:right w:val="nil"/>
            </w:tcBorders>
            <w:vAlign w:val="center"/>
          </w:tcPr>
          <w:p>
            <w:pPr>
              <w:widowControl/>
              <w:spacing w:before="100" w:beforeAutospacing="1" w:after="100" w:afterAutospacing="1"/>
              <w:jc w:val="center"/>
              <w:rPr>
                <w:rFonts w:ascii="宋体" w:hAnsi="宋体" w:eastAsia="宋体" w:cs="宋体"/>
                <w:kern w:val="0"/>
                <w:sz w:val="20"/>
                <w:szCs w:val="20"/>
              </w:rPr>
            </w:pPr>
            <w:r>
              <w:rPr>
                <w:rFonts w:ascii="宋体" w:hAnsi="宋体" w:eastAsia="宋体" w:cs="宋体"/>
                <w:b/>
                <w:bCs/>
                <w:kern w:val="0"/>
                <w:sz w:val="20"/>
                <w:szCs w:val="20"/>
              </w:rPr>
              <w:t>商务需求</w:t>
            </w:r>
          </w:p>
        </w:tc>
        <w:tc>
          <w:tcPr>
            <w:tcW w:w="9741" w:type="dxa"/>
            <w:tcBorders>
              <w:top w:val="single" w:color="auto" w:sz="6" w:space="0"/>
              <w:left w:val="single" w:color="auto" w:sz="6" w:space="0"/>
              <w:bottom w:val="nil"/>
              <w:right w:val="nil"/>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说明：（包括售后服务、交货、运输安装和验收、付款方式、违约责任、培训等）。</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1、售后服务：</w:t>
            </w:r>
          </w:p>
          <w:p>
            <w:pPr>
              <w:pStyle w:val="15"/>
              <w:widowControl/>
              <w:numPr>
                <w:ilvl w:val="0"/>
                <w:numId w:val="21"/>
              </w:numPr>
              <w:ind w:firstLineChars="0"/>
              <w:jc w:val="left"/>
              <w:rPr>
                <w:rFonts w:ascii="宋体" w:hAnsi="宋体" w:eastAsia="宋体" w:cs="宋体"/>
                <w:kern w:val="0"/>
                <w:sz w:val="20"/>
                <w:szCs w:val="20"/>
              </w:rPr>
            </w:pPr>
            <w:r>
              <w:rPr>
                <w:rFonts w:hint="eastAsia" w:ascii="宋体" w:hAnsi="宋体" w:eastAsia="宋体" w:cs="宋体"/>
                <w:kern w:val="0"/>
                <w:sz w:val="20"/>
                <w:szCs w:val="20"/>
              </w:rPr>
              <w:t>成交供应商必须保证足够的技术人员和时间投入设备安装实施中，派项目负责人1名，项目实施人员2名。在项目建设过程中，项目负责人和主要实施人员需常驻用户所在地，且未经用户许可，不得变更项目负责人。该项目的负责人，负责与采购单位的实施部门工作人员接洽工作。</w:t>
            </w:r>
          </w:p>
          <w:p>
            <w:pPr>
              <w:pStyle w:val="15"/>
              <w:widowControl/>
              <w:numPr>
                <w:ilvl w:val="0"/>
                <w:numId w:val="21"/>
              </w:numPr>
              <w:ind w:firstLineChars="0"/>
              <w:jc w:val="left"/>
              <w:rPr>
                <w:rFonts w:ascii="宋体" w:hAnsi="宋体" w:eastAsia="宋体" w:cs="宋体"/>
                <w:kern w:val="0"/>
                <w:sz w:val="20"/>
                <w:szCs w:val="20"/>
              </w:rPr>
            </w:pPr>
            <w:r>
              <w:rPr>
                <w:rFonts w:hint="eastAsia" w:ascii="宋体" w:hAnsi="宋体" w:eastAsia="宋体" w:cs="宋体"/>
                <w:kern w:val="0"/>
                <w:sz w:val="20"/>
                <w:szCs w:val="20"/>
              </w:rPr>
              <w:t>根据采购人计算机操作水平的高低、特殊职能科室的业务需求等用户实际需要，有针对性地开展集中的用户培训，初步实现知识与技能的转移。投标人根据项目整体要求制订详细的培训计划。成交供应商在项目建设前后除了对业务经办人员的专项培训以外，应对采购人的系统维护人员进行系统维护培训，包括：系统管理、开发工具、数据交换技术等。</w:t>
            </w:r>
          </w:p>
          <w:p>
            <w:pPr>
              <w:pStyle w:val="15"/>
              <w:widowControl/>
              <w:numPr>
                <w:ilvl w:val="0"/>
                <w:numId w:val="21"/>
              </w:numPr>
              <w:ind w:firstLineChars="0"/>
              <w:jc w:val="left"/>
              <w:rPr>
                <w:rFonts w:ascii="宋体" w:hAnsi="宋体" w:eastAsia="宋体" w:cs="宋体"/>
                <w:kern w:val="0"/>
                <w:sz w:val="20"/>
                <w:szCs w:val="20"/>
              </w:rPr>
            </w:pPr>
            <w:r>
              <w:rPr>
                <w:rFonts w:hint="eastAsia" w:ascii="宋体" w:hAnsi="宋体" w:eastAsia="宋体" w:cs="宋体"/>
                <w:kern w:val="0"/>
                <w:sz w:val="20"/>
                <w:szCs w:val="20"/>
              </w:rPr>
              <w:t>要求产品（设备）有良好的售后维修保障，保修期内硬软件包换，免费保修。要求日常运维工作：提供7*24小时全天候电话、网络支持服务，售后服务机构须设专业人员提供远程服务。对于采购方的服务请求，成交供应商必须在2小时内响应。一般问题6小时内解决，电话指导不能解决的问题，采用紧急上门服务，24小时内到现场服务并排除故障。不得影响采购方的正常工作业务。</w:t>
            </w:r>
          </w:p>
          <w:p>
            <w:pPr>
              <w:pStyle w:val="15"/>
              <w:widowControl/>
              <w:numPr>
                <w:ilvl w:val="0"/>
                <w:numId w:val="21"/>
              </w:numPr>
              <w:ind w:firstLineChars="0"/>
              <w:jc w:val="left"/>
              <w:rPr>
                <w:rFonts w:ascii="宋体" w:hAnsi="宋体" w:eastAsia="宋体" w:cs="宋体"/>
                <w:kern w:val="0"/>
                <w:sz w:val="20"/>
                <w:szCs w:val="20"/>
              </w:rPr>
            </w:pPr>
            <w:r>
              <w:rPr>
                <w:rFonts w:hint="eastAsia" w:ascii="宋体" w:hAnsi="宋体" w:eastAsia="宋体" w:cs="宋体"/>
                <w:kern w:val="0"/>
                <w:sz w:val="20"/>
                <w:szCs w:val="20"/>
              </w:rPr>
              <w:t>免费服务期满后成交供应商可为采购人提供年度维保有偿服务。服务费用收取标准为不高于软件合同中标价的10%。</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2、交货期：9</w:t>
            </w:r>
            <w:r>
              <w:rPr>
                <w:rFonts w:ascii="宋体" w:hAnsi="宋体" w:eastAsia="宋体" w:cs="宋体"/>
                <w:kern w:val="0"/>
                <w:sz w:val="20"/>
                <w:szCs w:val="20"/>
              </w:rPr>
              <w:t>0日历天</w:t>
            </w:r>
            <w:r>
              <w:rPr>
                <w:rFonts w:hint="eastAsia" w:ascii="宋体" w:hAnsi="宋体" w:eastAsia="宋体" w:cs="宋体"/>
                <w:kern w:val="0"/>
                <w:sz w:val="20"/>
                <w:szCs w:val="20"/>
              </w:rPr>
              <w:t>。</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3、交货地点：深圳市中医院指定地点。</w:t>
            </w:r>
          </w:p>
          <w:p>
            <w:pPr>
              <w:widowControl/>
              <w:jc w:val="left"/>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、质保期：中标公司在项目验收交付后，提供一年的售后服务，包括不定时巡检、到场维修和远程维修。</w:t>
            </w:r>
          </w:p>
          <w:p>
            <w:pPr>
              <w:widowControl/>
              <w:tabs>
                <w:tab w:val="left" w:pos="312"/>
              </w:tabs>
              <w:jc w:val="left"/>
              <w:rPr>
                <w:rFonts w:ascii="宋体" w:hAnsi="宋体" w:eastAsia="宋体" w:cs="宋体"/>
                <w:kern w:val="0"/>
                <w:sz w:val="20"/>
                <w:szCs w:val="20"/>
              </w:rPr>
            </w:pP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、培训：根据需求，可以提供上门或远程管理系统培训，包括日常操作、基础数据维护、应急处理等；使使用者都具备所需的系统维护、操作和日常问题处理能力。</w:t>
            </w:r>
          </w:p>
          <w:p>
            <w:pPr>
              <w:widowControl/>
              <w:tabs>
                <w:tab w:val="left" w:pos="312"/>
              </w:tabs>
              <w:jc w:val="left"/>
              <w:rPr>
                <w:rFonts w:ascii="宋体" w:hAnsi="宋体" w:eastAsia="宋体" w:cs="宋体"/>
                <w:kern w:val="0"/>
                <w:sz w:val="20"/>
                <w:szCs w:val="20"/>
              </w:rPr>
            </w:pPr>
            <w:r>
              <w:rPr>
                <w:rFonts w:hint="eastAsia" w:ascii="宋体" w:hAnsi="宋体" w:eastAsia="宋体" w:cs="宋体"/>
                <w:kern w:val="0"/>
                <w:sz w:val="20"/>
                <w:szCs w:val="20"/>
                <w:lang w:val="en-US" w:eastAsia="zh-CN"/>
              </w:rPr>
              <w:t>6</w:t>
            </w:r>
            <w:r>
              <w:rPr>
                <w:rFonts w:hint="eastAsia" w:ascii="宋体" w:hAnsi="宋体" w:eastAsia="宋体" w:cs="宋体"/>
                <w:kern w:val="0"/>
                <w:sz w:val="20"/>
                <w:szCs w:val="20"/>
              </w:rPr>
              <w:t>、验收要求：按供货要求事项进行验收。在中标方安装调试设备完成，由中标方提出验收申请，采购方应10个工作日内响应申请并组织验收，验收合格后出具验收报告。10个工作日内未组织验收且未书面提出异议的，视为验收合格。</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13444"/>
    <w:multiLevelType w:val="multilevel"/>
    <w:tmpl w:val="02813444"/>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2D26A36"/>
    <w:multiLevelType w:val="multilevel"/>
    <w:tmpl w:val="02D26A36"/>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3A27E7B"/>
    <w:multiLevelType w:val="multilevel"/>
    <w:tmpl w:val="03A27E7B"/>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C787B77"/>
    <w:multiLevelType w:val="multilevel"/>
    <w:tmpl w:val="0C787B77"/>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B9E45D8"/>
    <w:multiLevelType w:val="multilevel"/>
    <w:tmpl w:val="1B9E45D8"/>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1487B6D"/>
    <w:multiLevelType w:val="multilevel"/>
    <w:tmpl w:val="21487B6D"/>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17D719E"/>
    <w:multiLevelType w:val="multilevel"/>
    <w:tmpl w:val="217D719E"/>
    <w:lvl w:ilvl="0" w:tentative="0">
      <w:start w:val="1"/>
      <w:numFmt w:val="decimal"/>
      <w:suff w:val="nothing"/>
      <w:lvlText w:val="( %1 )"/>
      <w:lvlJc w:val="left"/>
      <w:pPr>
        <w:ind w:left="0" w:firstLine="0"/>
      </w:pPr>
      <w:rPr>
        <w:rFonts w:hint="eastAsia"/>
      </w:rPr>
    </w:lvl>
    <w:lvl w:ilvl="1" w:tentative="0">
      <w:start w:val="1"/>
      <w:numFmt w:val="lowerLetter"/>
      <w:lvlText w:val="%2)"/>
      <w:lvlJc w:val="left"/>
      <w:pPr>
        <w:ind w:left="1280" w:hanging="440"/>
      </w:pPr>
    </w:lvl>
    <w:lvl w:ilvl="2" w:tentative="0">
      <w:start w:val="1"/>
      <w:numFmt w:val="lowerRoman"/>
      <w:lvlText w:val="%3."/>
      <w:lvlJc w:val="right"/>
      <w:pPr>
        <w:ind w:left="1720" w:hanging="440"/>
      </w:pPr>
    </w:lvl>
    <w:lvl w:ilvl="3" w:tentative="0">
      <w:start w:val="1"/>
      <w:numFmt w:val="decimal"/>
      <w:lvlText w:val="%4."/>
      <w:lvlJc w:val="left"/>
      <w:pPr>
        <w:ind w:left="2160" w:hanging="440"/>
      </w:pPr>
    </w:lvl>
    <w:lvl w:ilvl="4" w:tentative="0">
      <w:start w:val="1"/>
      <w:numFmt w:val="lowerLetter"/>
      <w:lvlText w:val="%5)"/>
      <w:lvlJc w:val="left"/>
      <w:pPr>
        <w:ind w:left="2600" w:hanging="440"/>
      </w:pPr>
    </w:lvl>
    <w:lvl w:ilvl="5" w:tentative="0">
      <w:start w:val="1"/>
      <w:numFmt w:val="lowerRoman"/>
      <w:lvlText w:val="%6."/>
      <w:lvlJc w:val="right"/>
      <w:pPr>
        <w:ind w:left="3040" w:hanging="440"/>
      </w:pPr>
    </w:lvl>
    <w:lvl w:ilvl="6" w:tentative="0">
      <w:start w:val="1"/>
      <w:numFmt w:val="decimal"/>
      <w:lvlText w:val="%7."/>
      <w:lvlJc w:val="left"/>
      <w:pPr>
        <w:ind w:left="3480" w:hanging="440"/>
      </w:pPr>
    </w:lvl>
    <w:lvl w:ilvl="7" w:tentative="0">
      <w:start w:val="1"/>
      <w:numFmt w:val="lowerLetter"/>
      <w:lvlText w:val="%8)"/>
      <w:lvlJc w:val="left"/>
      <w:pPr>
        <w:ind w:left="3920" w:hanging="440"/>
      </w:pPr>
    </w:lvl>
    <w:lvl w:ilvl="8" w:tentative="0">
      <w:start w:val="1"/>
      <w:numFmt w:val="lowerRoman"/>
      <w:lvlText w:val="%9."/>
      <w:lvlJc w:val="right"/>
      <w:pPr>
        <w:ind w:left="4360" w:hanging="440"/>
      </w:pPr>
    </w:lvl>
  </w:abstractNum>
  <w:abstractNum w:abstractNumId="7">
    <w:nsid w:val="21C95190"/>
    <w:multiLevelType w:val="multilevel"/>
    <w:tmpl w:val="21C95190"/>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225C6776"/>
    <w:multiLevelType w:val="multilevel"/>
    <w:tmpl w:val="225C6776"/>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22E27473"/>
    <w:multiLevelType w:val="multilevel"/>
    <w:tmpl w:val="22E27473"/>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278B490F"/>
    <w:multiLevelType w:val="multilevel"/>
    <w:tmpl w:val="278B490F"/>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AE719E9"/>
    <w:multiLevelType w:val="multilevel"/>
    <w:tmpl w:val="2AE719E9"/>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35704853"/>
    <w:multiLevelType w:val="multilevel"/>
    <w:tmpl w:val="35704853"/>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3B492083"/>
    <w:multiLevelType w:val="multilevel"/>
    <w:tmpl w:val="3B492083"/>
    <w:lvl w:ilvl="0" w:tentative="0">
      <w:start w:val="1"/>
      <w:numFmt w:val="decimal"/>
      <w:lvlText w:val="%1)"/>
      <w:lvlJc w:val="left"/>
      <w:pPr>
        <w:ind w:left="360" w:hanging="360"/>
      </w:pPr>
      <w:rPr>
        <w:rFonts w:hint="default"/>
        <w:b/>
        <w:color w:val="FF000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3D133EA1"/>
    <w:multiLevelType w:val="multilevel"/>
    <w:tmpl w:val="3D133EA1"/>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447B5F5A"/>
    <w:multiLevelType w:val="multilevel"/>
    <w:tmpl w:val="447B5F5A"/>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497D07E8"/>
    <w:multiLevelType w:val="multilevel"/>
    <w:tmpl w:val="497D07E8"/>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569737A3"/>
    <w:multiLevelType w:val="multilevel"/>
    <w:tmpl w:val="569737A3"/>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57800631"/>
    <w:multiLevelType w:val="multilevel"/>
    <w:tmpl w:val="57800631"/>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64DA592C"/>
    <w:multiLevelType w:val="multilevel"/>
    <w:tmpl w:val="64DA592C"/>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7F7D25EC"/>
    <w:multiLevelType w:val="multilevel"/>
    <w:tmpl w:val="7F7D25EC"/>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3"/>
  </w:num>
  <w:num w:numId="3">
    <w:abstractNumId w:val="8"/>
  </w:num>
  <w:num w:numId="4">
    <w:abstractNumId w:val="9"/>
  </w:num>
  <w:num w:numId="5">
    <w:abstractNumId w:val="16"/>
  </w:num>
  <w:num w:numId="6">
    <w:abstractNumId w:val="18"/>
  </w:num>
  <w:num w:numId="7">
    <w:abstractNumId w:val="0"/>
  </w:num>
  <w:num w:numId="8">
    <w:abstractNumId w:val="12"/>
  </w:num>
  <w:num w:numId="9">
    <w:abstractNumId w:val="15"/>
  </w:num>
  <w:num w:numId="10">
    <w:abstractNumId w:val="7"/>
  </w:num>
  <w:num w:numId="11">
    <w:abstractNumId w:val="19"/>
  </w:num>
  <w:num w:numId="12">
    <w:abstractNumId w:val="2"/>
  </w:num>
  <w:num w:numId="13">
    <w:abstractNumId w:val="17"/>
  </w:num>
  <w:num w:numId="14">
    <w:abstractNumId w:val="4"/>
  </w:num>
  <w:num w:numId="15">
    <w:abstractNumId w:val="14"/>
  </w:num>
  <w:num w:numId="16">
    <w:abstractNumId w:val="10"/>
  </w:num>
  <w:num w:numId="17">
    <w:abstractNumId w:val="11"/>
  </w:num>
  <w:num w:numId="18">
    <w:abstractNumId w:val="20"/>
  </w:num>
  <w:num w:numId="19">
    <w:abstractNumId w:val="1"/>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ZWViYTJiYjU3Mjc1OTlkODA5ODA1YjIxNjkyMDAifQ=="/>
  </w:docVars>
  <w:rsids>
    <w:rsidRoot w:val="005D5AE9"/>
    <w:rsid w:val="000108A2"/>
    <w:rsid w:val="00022396"/>
    <w:rsid w:val="00024A31"/>
    <w:rsid w:val="00046274"/>
    <w:rsid w:val="00061B01"/>
    <w:rsid w:val="0006518A"/>
    <w:rsid w:val="00072E3D"/>
    <w:rsid w:val="000913DF"/>
    <w:rsid w:val="000B0D18"/>
    <w:rsid w:val="000E279C"/>
    <w:rsid w:val="000F3E5F"/>
    <w:rsid w:val="00152AE6"/>
    <w:rsid w:val="001A3BD9"/>
    <w:rsid w:val="001E01F8"/>
    <w:rsid w:val="001E4A7A"/>
    <w:rsid w:val="00206D68"/>
    <w:rsid w:val="00236EFF"/>
    <w:rsid w:val="00237E82"/>
    <w:rsid w:val="00284D25"/>
    <w:rsid w:val="002B23D0"/>
    <w:rsid w:val="002C2DE9"/>
    <w:rsid w:val="002E0801"/>
    <w:rsid w:val="00320A7E"/>
    <w:rsid w:val="00367DB7"/>
    <w:rsid w:val="003A3E5F"/>
    <w:rsid w:val="003B2077"/>
    <w:rsid w:val="003B338F"/>
    <w:rsid w:val="003D7EA6"/>
    <w:rsid w:val="003E38C1"/>
    <w:rsid w:val="003F37BE"/>
    <w:rsid w:val="0042171B"/>
    <w:rsid w:val="00445712"/>
    <w:rsid w:val="00452BE8"/>
    <w:rsid w:val="00461517"/>
    <w:rsid w:val="0046595D"/>
    <w:rsid w:val="004C233F"/>
    <w:rsid w:val="004F7DD5"/>
    <w:rsid w:val="0050149C"/>
    <w:rsid w:val="0051104B"/>
    <w:rsid w:val="0052566F"/>
    <w:rsid w:val="0053275F"/>
    <w:rsid w:val="005349E5"/>
    <w:rsid w:val="00557E21"/>
    <w:rsid w:val="0057593C"/>
    <w:rsid w:val="00590F68"/>
    <w:rsid w:val="00597830"/>
    <w:rsid w:val="005A3736"/>
    <w:rsid w:val="005D55FC"/>
    <w:rsid w:val="005D5AE9"/>
    <w:rsid w:val="005E1B85"/>
    <w:rsid w:val="006204AC"/>
    <w:rsid w:val="00634E1A"/>
    <w:rsid w:val="00641480"/>
    <w:rsid w:val="006420A0"/>
    <w:rsid w:val="00691EEB"/>
    <w:rsid w:val="006E302A"/>
    <w:rsid w:val="007206B7"/>
    <w:rsid w:val="007278DD"/>
    <w:rsid w:val="007326BE"/>
    <w:rsid w:val="00734F3D"/>
    <w:rsid w:val="00736A50"/>
    <w:rsid w:val="00740B8E"/>
    <w:rsid w:val="00786A40"/>
    <w:rsid w:val="00795AF1"/>
    <w:rsid w:val="00797F6C"/>
    <w:rsid w:val="007A1717"/>
    <w:rsid w:val="007B655D"/>
    <w:rsid w:val="007D669A"/>
    <w:rsid w:val="007F02A9"/>
    <w:rsid w:val="00801C22"/>
    <w:rsid w:val="00830268"/>
    <w:rsid w:val="008357D4"/>
    <w:rsid w:val="00851BBB"/>
    <w:rsid w:val="008A44D5"/>
    <w:rsid w:val="008A61A8"/>
    <w:rsid w:val="008D6FA1"/>
    <w:rsid w:val="009121A2"/>
    <w:rsid w:val="00912805"/>
    <w:rsid w:val="00914851"/>
    <w:rsid w:val="009C7B9C"/>
    <w:rsid w:val="00A1655C"/>
    <w:rsid w:val="00A455F6"/>
    <w:rsid w:val="00A46F29"/>
    <w:rsid w:val="00A665E9"/>
    <w:rsid w:val="00A66B9D"/>
    <w:rsid w:val="00A81187"/>
    <w:rsid w:val="00AB6BE9"/>
    <w:rsid w:val="00AC0DF1"/>
    <w:rsid w:val="00AC1882"/>
    <w:rsid w:val="00AD790D"/>
    <w:rsid w:val="00AE7B08"/>
    <w:rsid w:val="00AF3027"/>
    <w:rsid w:val="00B050F8"/>
    <w:rsid w:val="00B06840"/>
    <w:rsid w:val="00B17741"/>
    <w:rsid w:val="00B4247F"/>
    <w:rsid w:val="00B7108A"/>
    <w:rsid w:val="00BB500A"/>
    <w:rsid w:val="00BC573E"/>
    <w:rsid w:val="00BD1D19"/>
    <w:rsid w:val="00BD4CD7"/>
    <w:rsid w:val="00C010FD"/>
    <w:rsid w:val="00C03F66"/>
    <w:rsid w:val="00C20C34"/>
    <w:rsid w:val="00C40A67"/>
    <w:rsid w:val="00C55269"/>
    <w:rsid w:val="00C6195B"/>
    <w:rsid w:val="00C97C25"/>
    <w:rsid w:val="00CB4824"/>
    <w:rsid w:val="00CC0644"/>
    <w:rsid w:val="00CD1197"/>
    <w:rsid w:val="00D10C32"/>
    <w:rsid w:val="00D10DB4"/>
    <w:rsid w:val="00D1796E"/>
    <w:rsid w:val="00D250CC"/>
    <w:rsid w:val="00D64E75"/>
    <w:rsid w:val="00DB6660"/>
    <w:rsid w:val="00DC7026"/>
    <w:rsid w:val="00DE4E48"/>
    <w:rsid w:val="00DE7300"/>
    <w:rsid w:val="00DF7812"/>
    <w:rsid w:val="00E06ABD"/>
    <w:rsid w:val="00E165D8"/>
    <w:rsid w:val="00E21A66"/>
    <w:rsid w:val="00E2695B"/>
    <w:rsid w:val="00E56DF7"/>
    <w:rsid w:val="00E571DE"/>
    <w:rsid w:val="00E7331A"/>
    <w:rsid w:val="00E764D2"/>
    <w:rsid w:val="00EE53E6"/>
    <w:rsid w:val="00EE53FF"/>
    <w:rsid w:val="00EF09D3"/>
    <w:rsid w:val="00EF7C84"/>
    <w:rsid w:val="00F14A5B"/>
    <w:rsid w:val="00F21E25"/>
    <w:rsid w:val="00F23D2E"/>
    <w:rsid w:val="00F27F2B"/>
    <w:rsid w:val="00F32E87"/>
    <w:rsid w:val="00F5782D"/>
    <w:rsid w:val="00F60590"/>
    <w:rsid w:val="00F74C06"/>
    <w:rsid w:val="00F80E49"/>
    <w:rsid w:val="00FC2253"/>
    <w:rsid w:val="00FC2A03"/>
    <w:rsid w:val="00FD3556"/>
    <w:rsid w:val="00FF58DF"/>
    <w:rsid w:val="01AB59CA"/>
    <w:rsid w:val="0290455C"/>
    <w:rsid w:val="04B04E1F"/>
    <w:rsid w:val="12BC076D"/>
    <w:rsid w:val="166809FF"/>
    <w:rsid w:val="176D1C8D"/>
    <w:rsid w:val="19ED4769"/>
    <w:rsid w:val="19FC4383"/>
    <w:rsid w:val="1E517CF3"/>
    <w:rsid w:val="23DF00D7"/>
    <w:rsid w:val="30DE1F27"/>
    <w:rsid w:val="36E136FA"/>
    <w:rsid w:val="37425456"/>
    <w:rsid w:val="391310A9"/>
    <w:rsid w:val="399E221C"/>
    <w:rsid w:val="44530932"/>
    <w:rsid w:val="49E30CA1"/>
    <w:rsid w:val="4C896747"/>
    <w:rsid w:val="518839EE"/>
    <w:rsid w:val="5B1B1430"/>
    <w:rsid w:val="64A13F6F"/>
    <w:rsid w:val="67814B57"/>
    <w:rsid w:val="6BEF7999"/>
    <w:rsid w:val="74006242"/>
    <w:rsid w:val="75FB48F5"/>
    <w:rsid w:val="7623335D"/>
    <w:rsid w:val="79A31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6"/>
    <w:qFormat/>
    <w:uiPriority w:val="0"/>
    <w:pPr>
      <w:ind w:firstLine="420"/>
    </w:pPr>
    <w:rPr>
      <w:rFonts w:ascii="Calibri" w:hAnsi="Calibri" w:eastAsia="宋体" w:cs="Times New Roman"/>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sz w:val="20"/>
      <w:szCs w:val="20"/>
      <w:u w:val="single"/>
    </w:rPr>
  </w:style>
  <w:style w:type="character" w:styleId="11">
    <w:name w:val="Hyperlink"/>
    <w:basedOn w:val="8"/>
    <w:semiHidden/>
    <w:unhideWhenUsed/>
    <w:qFormat/>
    <w:uiPriority w:val="99"/>
    <w:rPr>
      <w:color w:val="0000FF"/>
      <w:sz w:val="20"/>
      <w:szCs w:val="20"/>
      <w:u w:val="single"/>
    </w:rPr>
  </w:style>
  <w:style w:type="paragraph" w:customStyle="1" w:styleId="12">
    <w:name w:val="tableheader"/>
    <w:basedOn w:val="1"/>
    <w:qFormat/>
    <w:uiPriority w:val="0"/>
    <w:pPr>
      <w:widowControl/>
      <w:shd w:val="clear" w:color="auto" w:fill="ABCDEF"/>
      <w:spacing w:before="100" w:beforeAutospacing="1" w:after="100" w:afterAutospacing="1"/>
      <w:jc w:val="left"/>
    </w:pPr>
    <w:rPr>
      <w:rFonts w:ascii="宋体" w:hAnsi="宋体" w:eastAsia="宋体" w:cs="宋体"/>
      <w:kern w:val="0"/>
      <w:sz w:val="24"/>
      <w:szCs w:val="24"/>
    </w:rPr>
  </w:style>
  <w:style w:type="character" w:customStyle="1" w:styleId="13">
    <w:name w:val="页眉 字符"/>
    <w:basedOn w:val="8"/>
    <w:link w:val="4"/>
    <w:qFormat/>
    <w:uiPriority w:val="0"/>
    <w:rPr>
      <w:rFonts w:ascii="Times New Roman" w:hAnsi="Times New Roman" w:eastAsia="宋体" w:cs="Times New Roman"/>
      <w:sz w:val="18"/>
      <w:szCs w:val="18"/>
    </w:rPr>
  </w:style>
  <w:style w:type="character" w:customStyle="1" w:styleId="14">
    <w:name w:val="页脚 字符"/>
    <w:basedOn w:val="8"/>
    <w:link w:val="3"/>
    <w:qFormat/>
    <w:uiPriority w:val="99"/>
    <w:rPr>
      <w:sz w:val="18"/>
      <w:szCs w:val="18"/>
    </w:rPr>
  </w:style>
  <w:style w:type="paragraph" w:styleId="15">
    <w:name w:val="List Paragraph"/>
    <w:basedOn w:val="1"/>
    <w:unhideWhenUsed/>
    <w:qFormat/>
    <w:uiPriority w:val="99"/>
    <w:pPr>
      <w:ind w:firstLine="420" w:firstLineChars="200"/>
    </w:pPr>
  </w:style>
  <w:style w:type="character" w:customStyle="1" w:styleId="16">
    <w:name w:val="正文缩进 字符"/>
    <w:link w:val="2"/>
    <w:qFormat/>
    <w:uiPriority w:val="0"/>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DELL</Company>
  <Pages>7</Pages>
  <Words>1146</Words>
  <Characters>6535</Characters>
  <Lines>54</Lines>
  <Paragraphs>15</Paragraphs>
  <TotalTime>60</TotalTime>
  <ScaleCrop>false</ScaleCrop>
  <LinksUpToDate>false</LinksUpToDate>
  <CharactersWithSpaces>7666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2023-09-16T06:39:00Z</dcterms:created>
  <dc:creator>张婷婷</dc:creator>
  <cp:lastModifiedBy>QY</cp:lastModifiedBy>
  <dcterms:modified xsi:type="dcterms:W3CDTF">2023-10-17T04:08:54Z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756FAA66BD614FF78A57FFEB1AE1E811_13</vt:lpwstr>
  </property>
</Properties>
</file>