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1A866">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深圳市中医院2024年度信息化建设项目</w:t>
      </w:r>
    </w:p>
    <w:p w14:paraId="18878F44">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（第四批）采购需求：</w:t>
      </w:r>
    </w:p>
    <w:p w14:paraId="05C58ECB">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022"/>
        <w:gridCol w:w="10773"/>
      </w:tblGrid>
      <w:tr w14:paraId="393D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5B7D4AFE">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022" w:type="dxa"/>
            <w:vAlign w:val="center"/>
          </w:tcPr>
          <w:p w14:paraId="14244621">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tc>
        <w:tc>
          <w:tcPr>
            <w:tcW w:w="10773" w:type="dxa"/>
            <w:vAlign w:val="center"/>
          </w:tcPr>
          <w:p w14:paraId="588D355E">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采购需求</w:t>
            </w:r>
          </w:p>
        </w:tc>
      </w:tr>
      <w:tr w14:paraId="4E68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657686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022" w:type="dxa"/>
            <w:vAlign w:val="center"/>
          </w:tcPr>
          <w:p w14:paraId="43C5DBAF">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影像</w:t>
            </w:r>
            <w:r>
              <w:rPr>
                <w:rFonts w:hint="eastAsia" w:ascii="仿宋_GB2312" w:hAnsi="仿宋_GB2312" w:eastAsia="仿宋_GB2312" w:cs="仿宋_GB2312"/>
                <w:sz w:val="32"/>
                <w:szCs w:val="32"/>
                <w:lang w:val="en-US" w:eastAsia="zh-CN"/>
              </w:rPr>
              <w:t>平台</w:t>
            </w:r>
            <w:bookmarkStart w:id="0" w:name="_GoBack"/>
            <w:bookmarkEnd w:id="0"/>
          </w:p>
        </w:tc>
        <w:tc>
          <w:tcPr>
            <w:tcW w:w="10773" w:type="dxa"/>
          </w:tcPr>
          <w:p w14:paraId="2FEFE9F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全院影像数据中心，整合医院各院区包含但不限于放射、超声、内镜、病理、心电、核医学、喉镜、阴道镜、骨密度等医技影像数据，数据形式包括结构化报告、PDF报告、影像等数据，集中存储和统一管理。</w:t>
            </w:r>
          </w:p>
          <w:p w14:paraId="21EFCB2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2、提供Web影像数据中心管理端，对采集服务、存储节点、采集患者数据、失败记录等进行管理。</w:t>
            </w:r>
          </w:p>
          <w:p w14:paraId="07524F6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3、提供检查患者索引服务，支持结构化数据和非结构化数据共同建立患者唯一索引；并支持接收并管理人员信息和身份标识、提供查询和索引功能。</w:t>
            </w:r>
          </w:p>
          <w:p w14:paraId="7BBCAB8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现统一临床医技影像数据共享服务：（1）院内实现与HIS、EMR、公众号、自助机、云胶片等系统集成，实现临床医生、患者等调阅相关医技影像数据；（2）院外实现与上级平台的数据共享，完成上级机构的数据共享要求。</w:t>
            </w:r>
          </w:p>
          <w:p w14:paraId="100E6CF0">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5、符合国家电子病历七级技术要求，满足检查数据的数据质控及统计、闭环管理、数据脱敏配置。</w:t>
            </w:r>
          </w:p>
          <w:p w14:paraId="1475DA8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6、符合国家互联互通标准要求，服务接口标准统一，标准化采集端和共享端API，预留可扩展接口要求。</w:t>
            </w:r>
          </w:p>
          <w:p w14:paraId="084D2E6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现影像数据的可视化报表统计，（1）数据采集过程日志；（2）影像数据生产报表，呈现年、季、月、周、日维度，支持检查分类、科室等过滤查询；（3）影像共享服务报表，支持科室、医生等过滤查询；（4）影像存储空间管理统计。</w:t>
            </w:r>
          </w:p>
          <w:p w14:paraId="13F9281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8、影像中心在设计时应充分考虑跨系统、跨应用和在各种操作系统、不同的中间件系统上可移植。</w:t>
            </w:r>
          </w:p>
          <w:p w14:paraId="10748C8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符合信息安全等级保护三级要求，在应用支撑系统总体设计、应用系统总体设计、系统环境搭建、信息资源目录和交换体系设计等多个层面遵循《信息安全等级保护管理办法》的要求，进行信息化系统安全设计。</w:t>
            </w:r>
          </w:p>
        </w:tc>
      </w:tr>
      <w:tr w14:paraId="288F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763E016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022" w:type="dxa"/>
            <w:vAlign w:val="center"/>
          </w:tcPr>
          <w:p w14:paraId="03DAF265">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智能检验系统二期建设项目</w:t>
            </w:r>
          </w:p>
        </w:tc>
        <w:tc>
          <w:tcPr>
            <w:tcW w:w="10773" w:type="dxa"/>
          </w:tcPr>
          <w:p w14:paraId="1ACF8B74">
            <w:pPr>
              <w:spacing w:line="560" w:lineRule="exact"/>
              <w:rPr>
                <w:rFonts w:ascii="仿宋_GB2312" w:eastAsia="仿宋_GB2312"/>
                <w:sz w:val="32"/>
                <w:szCs w:val="32"/>
              </w:rPr>
            </w:pPr>
            <w:r>
              <w:rPr>
                <w:rFonts w:hint="eastAsia" w:ascii="仿宋_GB2312" w:eastAsia="仿宋_GB2312"/>
                <w:sz w:val="32"/>
                <w:szCs w:val="32"/>
              </w:rPr>
              <w:t>1、检验主体业务管理模块信创改造：</w:t>
            </w:r>
          </w:p>
          <w:p w14:paraId="2725A182">
            <w:pPr>
              <w:spacing w:line="560" w:lineRule="exact"/>
              <w:rPr>
                <w:rFonts w:ascii="仿宋_GB2312" w:eastAsia="仿宋_GB2312"/>
                <w:sz w:val="32"/>
                <w:szCs w:val="32"/>
              </w:rPr>
            </w:pPr>
            <w:r>
              <w:rPr>
                <w:rFonts w:hint="eastAsia" w:ascii="仿宋_GB2312" w:eastAsia="仿宋_GB2312"/>
                <w:sz w:val="32"/>
                <w:szCs w:val="32"/>
              </w:rPr>
              <w:t>适配国产数据库和操作系统，对现有检验主体业务系统模块进行适应性改造。</w:t>
            </w:r>
          </w:p>
          <w:p w14:paraId="69B1ACD3">
            <w:pPr>
              <w:spacing w:line="560" w:lineRule="exact"/>
              <w:rPr>
                <w:rFonts w:ascii="仿宋_GB2312" w:eastAsia="仿宋_GB2312"/>
                <w:sz w:val="32"/>
                <w:szCs w:val="32"/>
              </w:rPr>
            </w:pPr>
            <w:r>
              <w:rPr>
                <w:rFonts w:hint="eastAsia" w:ascii="仿宋_GB2312" w:eastAsia="仿宋_GB2312"/>
                <w:sz w:val="32"/>
                <w:szCs w:val="32"/>
              </w:rPr>
              <w:t>包括：检验中台、系统环境参数配置、智能检验护士站、智能检验报告浏览器、智能采集工作站、智能采血排队叫号、自助报告、护工工作站（收集、送达）、智能前处理工作站、智能常规检验工作平台、智能审核、智能骨髓检验工作站、智能常规质控工作站、智能微生物检验工作站、危急值闭环管理系统、智能报表平台、智能检验专业质量指标统计上报。</w:t>
            </w:r>
          </w:p>
          <w:p w14:paraId="6040081F">
            <w:pPr>
              <w:spacing w:line="560" w:lineRule="exact"/>
              <w:rPr>
                <w:rFonts w:ascii="仿宋_GB2312" w:eastAsia="仿宋_GB2312"/>
                <w:sz w:val="32"/>
                <w:szCs w:val="32"/>
              </w:rPr>
            </w:pPr>
            <w:r>
              <w:rPr>
                <w:rFonts w:hint="eastAsia" w:ascii="仿宋_GB2312" w:eastAsia="仿宋_GB2312"/>
                <w:sz w:val="32"/>
                <w:szCs w:val="32"/>
              </w:rPr>
              <w:t>2、智能实验室模块（需满足信创要求）：</w:t>
            </w:r>
          </w:p>
          <w:p w14:paraId="13847591">
            <w:pPr>
              <w:spacing w:line="560" w:lineRule="exact"/>
              <w:rPr>
                <w:rFonts w:ascii="仿宋_GB2312" w:eastAsia="仿宋_GB2312"/>
                <w:sz w:val="32"/>
                <w:szCs w:val="32"/>
              </w:rPr>
            </w:pPr>
            <w:r>
              <w:rPr>
                <w:rFonts w:hint="eastAsia" w:ascii="仿宋_GB2312" w:eastAsia="仿宋_GB2312"/>
                <w:sz w:val="32"/>
                <w:szCs w:val="32"/>
              </w:rPr>
              <w:t>2.1自动审核体系管理：</w:t>
            </w:r>
          </w:p>
          <w:p w14:paraId="5B9EE928">
            <w:pPr>
              <w:spacing w:line="560" w:lineRule="exact"/>
              <w:rPr>
                <w:rFonts w:ascii="仿宋_GB2312" w:eastAsia="仿宋_GB2312"/>
                <w:sz w:val="32"/>
                <w:szCs w:val="32"/>
              </w:rPr>
            </w:pPr>
            <w:r>
              <w:rPr>
                <w:rFonts w:hint="eastAsia" w:ascii="仿宋_GB2312" w:eastAsia="仿宋_GB2312"/>
                <w:sz w:val="32"/>
                <w:szCs w:val="32"/>
              </w:rPr>
              <w:t>建立覆盖生化专业、临检专业、免疫专业组的自动审核体系规则及应用。</w:t>
            </w:r>
          </w:p>
          <w:p w14:paraId="7A63872F">
            <w:pPr>
              <w:spacing w:line="560" w:lineRule="exact"/>
              <w:rPr>
                <w:rFonts w:ascii="仿宋_GB2312" w:eastAsia="仿宋_GB2312"/>
                <w:sz w:val="32"/>
                <w:szCs w:val="32"/>
              </w:rPr>
            </w:pPr>
            <w:r>
              <w:rPr>
                <w:rFonts w:hint="eastAsia" w:ascii="仿宋_GB2312" w:eastAsia="仿宋_GB2312"/>
                <w:sz w:val="32"/>
                <w:szCs w:val="32"/>
              </w:rPr>
              <w:t>2.2微生物智能分级分级报告:</w:t>
            </w:r>
          </w:p>
          <w:p w14:paraId="5746063E">
            <w:pPr>
              <w:spacing w:line="560" w:lineRule="exact"/>
              <w:rPr>
                <w:rFonts w:ascii="仿宋_GB2312" w:eastAsia="仿宋_GB2312"/>
                <w:sz w:val="32"/>
                <w:szCs w:val="32"/>
              </w:rPr>
            </w:pPr>
            <w:r>
              <w:rPr>
                <w:rFonts w:hint="eastAsia" w:ascii="仿宋_GB2312" w:eastAsia="仿宋_GB2312"/>
                <w:sz w:val="32"/>
                <w:szCs w:val="32"/>
              </w:rPr>
              <w:t>实现一级、二级、三级分级报告，并依据微生物检验结果结合规则知识库以及微生物培养鉴定药敏数据分析推送指引信息。</w:t>
            </w:r>
          </w:p>
          <w:p w14:paraId="346A4F37">
            <w:pPr>
              <w:spacing w:line="560" w:lineRule="exact"/>
              <w:rPr>
                <w:rFonts w:ascii="仿宋_GB2312" w:eastAsia="仿宋_GB2312"/>
                <w:sz w:val="32"/>
                <w:szCs w:val="32"/>
              </w:rPr>
            </w:pPr>
            <w:r>
              <w:rPr>
                <w:rFonts w:hint="eastAsia" w:ascii="仿宋_GB2312" w:eastAsia="仿宋_GB2312"/>
                <w:sz w:val="32"/>
                <w:szCs w:val="32"/>
              </w:rPr>
              <w:t>2.3智能微生物检验结果解释报告：</w:t>
            </w:r>
          </w:p>
          <w:p w14:paraId="6D6DD0E3">
            <w:pPr>
              <w:spacing w:line="560" w:lineRule="exact"/>
              <w:rPr>
                <w:rFonts w:ascii="仿宋_GB2312" w:eastAsia="仿宋_GB2312"/>
                <w:sz w:val="32"/>
                <w:szCs w:val="32"/>
              </w:rPr>
            </w:pPr>
            <w:r>
              <w:rPr>
                <w:rFonts w:hint="eastAsia" w:ascii="仿宋_GB2312" w:eastAsia="仿宋_GB2312"/>
                <w:sz w:val="32"/>
                <w:szCs w:val="32"/>
              </w:rPr>
              <w:t>构建智能解释报告体系、微生物检验解释结果库、微生物知识库、抗菌药物知识库，供检验人员、临床人员学习。</w:t>
            </w:r>
          </w:p>
          <w:p w14:paraId="28F3817D">
            <w:pPr>
              <w:spacing w:line="560" w:lineRule="exact"/>
              <w:rPr>
                <w:rFonts w:ascii="仿宋_GB2312" w:eastAsia="仿宋_GB2312"/>
                <w:sz w:val="32"/>
                <w:szCs w:val="32"/>
              </w:rPr>
            </w:pPr>
            <w:r>
              <w:rPr>
                <w:rFonts w:hint="eastAsia" w:ascii="仿宋_GB2312" w:eastAsia="仿宋_GB2312"/>
                <w:sz w:val="32"/>
                <w:szCs w:val="32"/>
              </w:rPr>
              <w:t>2.4智能实验室可视化数据分析平台：</w:t>
            </w:r>
          </w:p>
          <w:p w14:paraId="20BB56FA">
            <w:pPr>
              <w:spacing w:line="560" w:lineRule="exact"/>
              <w:rPr>
                <w:rFonts w:ascii="仿宋_GB2312" w:eastAsia="仿宋_GB2312"/>
                <w:sz w:val="32"/>
                <w:szCs w:val="32"/>
              </w:rPr>
            </w:pPr>
            <w:r>
              <w:rPr>
                <w:rFonts w:hint="eastAsia" w:ascii="仿宋_GB2312" w:eastAsia="仿宋_GB2312"/>
                <w:sz w:val="32"/>
                <w:szCs w:val="32"/>
              </w:rPr>
              <w:t>实现自助分析、可视化呈现的设计及浏览工具，对检验数据的不合格标本、TAT 、危急值等进行分析。</w:t>
            </w:r>
          </w:p>
          <w:p w14:paraId="4E0481FF">
            <w:pPr>
              <w:spacing w:line="560" w:lineRule="exact"/>
              <w:rPr>
                <w:rFonts w:ascii="仿宋_GB2312" w:eastAsia="仿宋_GB2312"/>
                <w:sz w:val="32"/>
                <w:szCs w:val="32"/>
              </w:rPr>
            </w:pPr>
            <w:r>
              <w:rPr>
                <w:rFonts w:hint="eastAsia" w:ascii="仿宋_GB2312" w:eastAsia="仿宋_GB2312"/>
                <w:sz w:val="32"/>
                <w:szCs w:val="32"/>
              </w:rPr>
              <w:t>3、POCT管理平台（需满足信创要求）：</w:t>
            </w:r>
          </w:p>
          <w:p w14:paraId="1DFBF0ED">
            <w:pPr>
              <w:spacing w:line="560" w:lineRule="exact"/>
              <w:rPr>
                <w:rFonts w:ascii="仿宋_GB2312" w:eastAsia="仿宋_GB2312"/>
                <w:sz w:val="32"/>
                <w:szCs w:val="32"/>
              </w:rPr>
            </w:pPr>
            <w:r>
              <w:rPr>
                <w:rFonts w:hint="eastAsia" w:ascii="仿宋_GB2312" w:eastAsia="仿宋_GB2312"/>
                <w:sz w:val="32"/>
                <w:szCs w:val="32"/>
              </w:rPr>
              <w:t>3.1POCT管理工作站：</w:t>
            </w:r>
          </w:p>
          <w:p w14:paraId="65566D0B">
            <w:pPr>
              <w:spacing w:line="560" w:lineRule="exact"/>
              <w:rPr>
                <w:rFonts w:ascii="仿宋_GB2312" w:eastAsia="仿宋_GB2312"/>
                <w:sz w:val="32"/>
                <w:szCs w:val="32"/>
              </w:rPr>
            </w:pPr>
            <w:r>
              <w:rPr>
                <w:rFonts w:hint="eastAsia" w:ascii="仿宋_GB2312" w:eastAsia="仿宋_GB2312"/>
                <w:sz w:val="32"/>
                <w:szCs w:val="32"/>
              </w:rPr>
              <w:t>接入全院床边检验工作设备，实现检验工作站分层级延展管理。</w:t>
            </w:r>
          </w:p>
          <w:p w14:paraId="3FA21AA2">
            <w:pPr>
              <w:spacing w:line="560" w:lineRule="exact"/>
              <w:rPr>
                <w:rFonts w:ascii="仿宋_GB2312" w:eastAsia="仿宋_GB2312"/>
                <w:sz w:val="32"/>
                <w:szCs w:val="32"/>
              </w:rPr>
            </w:pPr>
            <w:r>
              <w:rPr>
                <w:rFonts w:hint="eastAsia" w:ascii="仿宋_GB2312" w:eastAsia="仿宋_GB2312"/>
                <w:sz w:val="32"/>
                <w:szCs w:val="32"/>
              </w:rPr>
              <w:t>3.2POCT报告中心：</w:t>
            </w:r>
          </w:p>
          <w:p w14:paraId="48E4984F">
            <w:pPr>
              <w:spacing w:line="560" w:lineRule="exact"/>
              <w:rPr>
                <w:rFonts w:ascii="仿宋_GB2312" w:eastAsia="仿宋_GB2312"/>
                <w:sz w:val="32"/>
                <w:szCs w:val="32"/>
              </w:rPr>
            </w:pPr>
            <w:r>
              <w:rPr>
                <w:rFonts w:hint="eastAsia" w:ascii="仿宋_GB2312" w:eastAsia="仿宋_GB2312"/>
                <w:sz w:val="32"/>
                <w:szCs w:val="32"/>
              </w:rPr>
              <w:t>实现POCT检验报告，实现数据和报告全院统一管理。</w:t>
            </w:r>
          </w:p>
          <w:p w14:paraId="04B3F847">
            <w:pPr>
              <w:spacing w:line="560" w:lineRule="exact"/>
              <w:rPr>
                <w:rFonts w:ascii="仿宋_GB2312" w:eastAsia="仿宋_GB2312"/>
                <w:sz w:val="32"/>
                <w:szCs w:val="32"/>
              </w:rPr>
            </w:pPr>
            <w:r>
              <w:rPr>
                <w:rFonts w:hint="eastAsia" w:ascii="仿宋_GB2312" w:eastAsia="仿宋_GB2312"/>
                <w:sz w:val="32"/>
                <w:szCs w:val="32"/>
              </w:rPr>
              <w:t>3.3POCT质控中心：</w:t>
            </w:r>
          </w:p>
          <w:p w14:paraId="07486CA6">
            <w:pPr>
              <w:spacing w:line="560" w:lineRule="exact"/>
              <w:rPr>
                <w:rFonts w:ascii="仿宋_GB2312" w:eastAsia="仿宋_GB2312"/>
                <w:sz w:val="32"/>
                <w:szCs w:val="32"/>
              </w:rPr>
            </w:pPr>
            <w:r>
              <w:rPr>
                <w:rFonts w:hint="eastAsia" w:ascii="仿宋_GB2312" w:eastAsia="仿宋_GB2312"/>
                <w:sz w:val="32"/>
                <w:szCs w:val="32"/>
              </w:rPr>
              <w:t>提供POCT集中管理中心，把血糖、血气等检测仪器的质控数据采集并展示。</w:t>
            </w:r>
          </w:p>
          <w:p w14:paraId="007CE045">
            <w:pPr>
              <w:spacing w:line="560" w:lineRule="exact"/>
              <w:rPr>
                <w:rFonts w:ascii="仿宋_GB2312" w:eastAsia="仿宋_GB2312"/>
                <w:sz w:val="32"/>
                <w:szCs w:val="32"/>
              </w:rPr>
            </w:pPr>
            <w:r>
              <w:rPr>
                <w:rFonts w:hint="eastAsia" w:ascii="仿宋_GB2312" w:eastAsia="仿宋_GB2312"/>
                <w:sz w:val="32"/>
                <w:szCs w:val="32"/>
              </w:rPr>
              <w:t>3.4POCT比对管理工作站：</w:t>
            </w:r>
          </w:p>
          <w:p w14:paraId="51B460E0">
            <w:pPr>
              <w:spacing w:line="560" w:lineRule="exact"/>
              <w:rPr>
                <w:rFonts w:ascii="仿宋_GB2312" w:eastAsia="仿宋_GB2312"/>
                <w:sz w:val="32"/>
                <w:szCs w:val="32"/>
              </w:rPr>
            </w:pPr>
            <w:r>
              <w:rPr>
                <w:rFonts w:hint="eastAsia" w:ascii="仿宋_GB2312" w:eastAsia="仿宋_GB2312"/>
                <w:sz w:val="32"/>
                <w:szCs w:val="32"/>
              </w:rPr>
              <w:t>能够自定义设置比对方案，建立比对活动，实现仪器间的标本比对。</w:t>
            </w:r>
          </w:p>
          <w:p w14:paraId="0FF558DB">
            <w:pPr>
              <w:spacing w:line="560" w:lineRule="exact"/>
              <w:rPr>
                <w:rFonts w:ascii="仿宋_GB2312" w:eastAsia="仿宋_GB2312"/>
                <w:sz w:val="32"/>
                <w:szCs w:val="32"/>
              </w:rPr>
            </w:pPr>
            <w:r>
              <w:rPr>
                <w:rFonts w:hint="eastAsia" w:ascii="仿宋_GB2312" w:eastAsia="仿宋_GB2312"/>
                <w:sz w:val="32"/>
                <w:szCs w:val="32"/>
              </w:rPr>
              <w:t>3.5POCT中间体集成：</w:t>
            </w:r>
          </w:p>
          <w:p w14:paraId="525E8294">
            <w:pPr>
              <w:spacing w:line="560" w:lineRule="exact"/>
              <w:rPr>
                <w:rFonts w:ascii="仿宋_GB2312" w:eastAsia="仿宋_GB2312"/>
                <w:sz w:val="32"/>
                <w:szCs w:val="32"/>
              </w:rPr>
            </w:pPr>
            <w:r>
              <w:rPr>
                <w:rFonts w:hint="eastAsia" w:ascii="仿宋_GB2312" w:eastAsia="仿宋_GB2312"/>
                <w:sz w:val="32"/>
                <w:szCs w:val="32"/>
              </w:rPr>
              <w:t>与血糖仪中间体集成，获取检测结果，并将结果传回LIS。</w:t>
            </w:r>
          </w:p>
          <w:p w14:paraId="6C5F7F76">
            <w:pPr>
              <w:spacing w:line="560" w:lineRule="exact"/>
              <w:rPr>
                <w:rFonts w:ascii="仿宋_GB2312" w:eastAsia="仿宋_GB2312"/>
                <w:sz w:val="32"/>
                <w:szCs w:val="32"/>
              </w:rPr>
            </w:pPr>
            <w:r>
              <w:rPr>
                <w:rFonts w:hint="eastAsia" w:ascii="仿宋_GB2312" w:eastAsia="仿宋_GB2312"/>
                <w:sz w:val="32"/>
                <w:szCs w:val="32"/>
              </w:rPr>
              <w:t>3.6POCT外部系统集成（医嘱、文书）：检测时可获取HIS中医嘱、文书信息进行查阅。</w:t>
            </w:r>
          </w:p>
        </w:tc>
      </w:tr>
    </w:tbl>
    <w:p w14:paraId="57DD2F05">
      <w:pPr>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k5NTljZDg0NzllYWNkNWVkMjBjNWYzNzMyNzcifQ=="/>
  </w:docVars>
  <w:rsids>
    <w:rsidRoot w:val="007C5195"/>
    <w:rsid w:val="000217CD"/>
    <w:rsid w:val="000672FB"/>
    <w:rsid w:val="00135454"/>
    <w:rsid w:val="005B284C"/>
    <w:rsid w:val="007C5195"/>
    <w:rsid w:val="007D6208"/>
    <w:rsid w:val="009446F2"/>
    <w:rsid w:val="00B46964"/>
    <w:rsid w:val="00B678DF"/>
    <w:rsid w:val="00CA3CE8"/>
    <w:rsid w:val="0C6B5A43"/>
    <w:rsid w:val="10860A2F"/>
    <w:rsid w:val="11341AE9"/>
    <w:rsid w:val="18A50A05"/>
    <w:rsid w:val="22163C3B"/>
    <w:rsid w:val="391F6D16"/>
    <w:rsid w:val="42BE487B"/>
    <w:rsid w:val="434A1448"/>
    <w:rsid w:val="50146148"/>
    <w:rsid w:val="57AD4D30"/>
    <w:rsid w:val="5A6776CD"/>
    <w:rsid w:val="620F495A"/>
    <w:rsid w:val="64B41A2A"/>
    <w:rsid w:val="67107641"/>
    <w:rsid w:val="6C9B3E26"/>
    <w:rsid w:val="77D00208"/>
    <w:rsid w:val="7D24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1383</Words>
  <Characters>1455</Characters>
  <Lines>10</Lines>
  <Paragraphs>2</Paragraphs>
  <TotalTime>2</TotalTime>
  <ScaleCrop>false</ScaleCrop>
  <LinksUpToDate>false</LinksUpToDate>
  <CharactersWithSpaces>1456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2024-05-15T02:30:00Z</dcterms:created>
  <dc:creator>zyy</dc:creator>
  <cp:lastModifiedBy>臭萝卜</cp:lastModifiedBy>
  <dcterms:modified xsi:type="dcterms:W3CDTF">2024-10-17T01:11:28Z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F83F2DB450834CBD9A914472C7EDF8E3_12</vt:lpwstr>
  </property>
</Properties>
</file>