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B4618">
      <w:pPr>
        <w:spacing w:before="119" w:line="231" w:lineRule="auto"/>
        <w:ind w:left="3626"/>
        <w:outlineLvl w:val="0"/>
        <w:rPr>
          <w:rFonts w:ascii="宋体" w:hAnsi="宋体" w:eastAsia="宋体" w:cs="宋体"/>
          <w:sz w:val="52"/>
          <w:szCs w:val="52"/>
          <w:lang w:eastAsia="zh-CN"/>
        </w:rPr>
      </w:pPr>
    </w:p>
    <w:p w14:paraId="026CE369">
      <w:pPr>
        <w:spacing w:line="285" w:lineRule="auto"/>
        <w:rPr>
          <w:rFonts w:ascii="宋体" w:hAnsi="宋体" w:eastAsia="宋体" w:cs="宋体"/>
        </w:rPr>
      </w:pPr>
    </w:p>
    <w:p w14:paraId="265CDAB5">
      <w:pPr>
        <w:spacing w:before="160" w:line="176" w:lineRule="auto"/>
        <w:ind w:left="1991"/>
        <w:outlineLvl w:val="0"/>
        <w:rPr>
          <w:rFonts w:ascii="宋体" w:hAnsi="宋体" w:eastAsia="宋体" w:cs="宋体"/>
          <w:sz w:val="35"/>
          <w:szCs w:val="35"/>
          <w:lang w:eastAsia="zh-CN"/>
        </w:rPr>
      </w:pPr>
      <w:r>
        <w:rPr>
          <w:rFonts w:hint="eastAsia" w:ascii="宋体" w:hAnsi="宋体" w:eastAsia="宋体" w:cs="宋体"/>
          <w:b/>
          <w:bCs/>
          <w:spacing w:val="-5"/>
          <w:sz w:val="35"/>
          <w:szCs w:val="35"/>
          <w:lang w:eastAsia="zh-CN"/>
        </w:rPr>
        <w:t>2025</w:t>
      </w:r>
      <w:r>
        <w:rPr>
          <w:rFonts w:hint="eastAsia" w:ascii="宋体" w:hAnsi="宋体" w:eastAsia="宋体" w:cs="宋体"/>
          <w:spacing w:val="-5"/>
          <w:sz w:val="35"/>
          <w:szCs w:val="35"/>
          <w:lang w:eastAsia="zh-CN"/>
        </w:rPr>
        <w:t xml:space="preserve"> </w:t>
      </w:r>
      <w:r>
        <w:rPr>
          <w:rFonts w:hint="eastAsia" w:ascii="宋体" w:hAnsi="宋体" w:eastAsia="宋体" w:cs="宋体"/>
          <w:b/>
          <w:bCs/>
          <w:spacing w:val="-5"/>
          <w:sz w:val="35"/>
          <w:szCs w:val="35"/>
          <w:lang w:eastAsia="zh-CN"/>
        </w:rPr>
        <w:t>年度广东省科学技术奖公示表</w:t>
      </w:r>
    </w:p>
    <w:p w14:paraId="533F27FF">
      <w:pPr>
        <w:spacing w:before="2" w:line="193" w:lineRule="auto"/>
        <w:jc w:val="right"/>
        <w:rPr>
          <w:rFonts w:ascii="PingFang SC" w:hAnsi="PingFang SC" w:eastAsia="PingFang SC" w:cs="PingFang SC"/>
          <w:sz w:val="35"/>
          <w:szCs w:val="35"/>
          <w:lang w:eastAsia="zh-CN"/>
        </w:rPr>
      </w:pPr>
    </w:p>
    <w:p w14:paraId="38EE551A">
      <w:pPr>
        <w:spacing w:line="141" w:lineRule="exact"/>
        <w:rPr>
          <w:lang w:eastAsia="zh-CN"/>
        </w:rPr>
      </w:pPr>
    </w:p>
    <w:tbl>
      <w:tblPr>
        <w:tblStyle w:val="4"/>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9"/>
        <w:gridCol w:w="7849"/>
      </w:tblGrid>
      <w:tr w14:paraId="36CCDA54">
        <w:trPr>
          <w:trHeight w:val="562" w:hRule="atLeast"/>
        </w:trPr>
        <w:tc>
          <w:tcPr>
            <w:tcW w:w="1619" w:type="dxa"/>
          </w:tcPr>
          <w:p w14:paraId="2A439CC4">
            <w:pPr>
              <w:pStyle w:val="5"/>
              <w:spacing w:before="39" w:line="169" w:lineRule="auto"/>
              <w:ind w:left="715" w:right="108" w:hanging="584"/>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bCs/>
                <w:spacing w:val="-6"/>
                <w:sz w:val="21"/>
                <w:szCs w:val="21"/>
              </w:rPr>
              <w:t>学科、专业评审</w:t>
            </w:r>
            <w:r>
              <w:rPr>
                <w:rFonts w:hint="default" w:ascii="Times New Roman Regular" w:hAnsi="Times New Roman Regular" w:eastAsia="宋体" w:cs="Times New Roman Regular"/>
                <w:b/>
                <w:bCs/>
                <w:spacing w:val="-3"/>
                <w:sz w:val="21"/>
                <w:szCs w:val="21"/>
              </w:rPr>
              <w:t>组</w:t>
            </w:r>
          </w:p>
        </w:tc>
        <w:tc>
          <w:tcPr>
            <w:tcW w:w="7849" w:type="dxa"/>
          </w:tcPr>
          <w:p w14:paraId="7EE1C844">
            <w:pPr>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lang w:eastAsia="zh-CN"/>
              </w:rPr>
              <w:t>中医与中药学专业评审组</w:t>
            </w:r>
          </w:p>
        </w:tc>
      </w:tr>
      <w:tr w14:paraId="5784ABFC">
        <w:trPr>
          <w:trHeight w:val="557" w:hRule="atLeast"/>
        </w:trPr>
        <w:tc>
          <w:tcPr>
            <w:tcW w:w="1619" w:type="dxa"/>
          </w:tcPr>
          <w:p w14:paraId="6BE0AB7E">
            <w:pPr>
              <w:pStyle w:val="5"/>
              <w:spacing w:before="172" w:line="199" w:lineRule="auto"/>
              <w:ind w:left="399"/>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bCs/>
                <w:spacing w:val="4"/>
                <w:sz w:val="21"/>
                <w:szCs w:val="21"/>
              </w:rPr>
              <w:t>项目名称</w:t>
            </w:r>
          </w:p>
        </w:tc>
        <w:tc>
          <w:tcPr>
            <w:tcW w:w="7849" w:type="dxa"/>
          </w:tcPr>
          <w:p w14:paraId="251FFEF4">
            <w:pPr>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lang w:eastAsia="zh-CN"/>
              </w:rPr>
              <w:t>从脾论治慢性肾衰竭中医诊治体系构建与推广应用</w:t>
            </w:r>
          </w:p>
        </w:tc>
      </w:tr>
      <w:tr w14:paraId="2922F9D7">
        <w:trPr>
          <w:trHeight w:val="557" w:hRule="atLeast"/>
        </w:trPr>
        <w:tc>
          <w:tcPr>
            <w:tcW w:w="1619" w:type="dxa"/>
          </w:tcPr>
          <w:p w14:paraId="17C6B81E">
            <w:pPr>
              <w:pStyle w:val="5"/>
              <w:spacing w:before="173" w:line="200" w:lineRule="auto"/>
              <w:ind w:left="505"/>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bCs/>
                <w:spacing w:val="3"/>
                <w:sz w:val="21"/>
                <w:szCs w:val="21"/>
              </w:rPr>
              <w:t>提名者</w:t>
            </w:r>
          </w:p>
        </w:tc>
        <w:tc>
          <w:tcPr>
            <w:tcW w:w="7849" w:type="dxa"/>
          </w:tcPr>
          <w:p w14:paraId="3D921B02">
            <w:pP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广东省中医药局</w:t>
            </w:r>
          </w:p>
        </w:tc>
      </w:tr>
      <w:tr w14:paraId="531C151C">
        <w:trPr>
          <w:trHeight w:val="413" w:hRule="atLeast"/>
        </w:trPr>
        <w:tc>
          <w:tcPr>
            <w:tcW w:w="1619" w:type="dxa"/>
            <w:vMerge w:val="restart"/>
            <w:tcBorders>
              <w:bottom w:val="nil"/>
            </w:tcBorders>
          </w:tcPr>
          <w:p w14:paraId="3DD765FA">
            <w:pPr>
              <w:spacing w:line="307" w:lineRule="auto"/>
              <w:rPr>
                <w:rFonts w:hint="default" w:ascii="Times New Roman Regular" w:hAnsi="Times New Roman Regular" w:eastAsia="宋体" w:cs="Times New Roman Regular"/>
                <w:sz w:val="21"/>
                <w:szCs w:val="21"/>
              </w:rPr>
            </w:pPr>
          </w:p>
          <w:p w14:paraId="0B6FFC7E">
            <w:pPr>
              <w:pStyle w:val="5"/>
              <w:spacing w:before="91" w:line="200" w:lineRule="auto"/>
              <w:ind w:left="195"/>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bCs/>
                <w:spacing w:val="5"/>
                <w:sz w:val="21"/>
                <w:szCs w:val="21"/>
              </w:rPr>
              <w:t>主要完成单位</w:t>
            </w:r>
          </w:p>
        </w:tc>
        <w:tc>
          <w:tcPr>
            <w:tcW w:w="7849" w:type="dxa"/>
          </w:tcPr>
          <w:p w14:paraId="62362AFD">
            <w:pPr>
              <w:pStyle w:val="5"/>
              <w:spacing w:before="34" w:line="192" w:lineRule="auto"/>
              <w:ind w:left="122"/>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pacing w:val="6"/>
                <w:sz w:val="21"/>
                <w:szCs w:val="21"/>
                <w:lang w:eastAsia="zh-CN"/>
              </w:rPr>
              <w:t>广州中医院大学第二附属医院（广东省中医院）</w:t>
            </w:r>
          </w:p>
        </w:tc>
      </w:tr>
      <w:tr w14:paraId="3B9391EB">
        <w:trPr>
          <w:trHeight w:val="413" w:hRule="atLeast"/>
        </w:trPr>
        <w:tc>
          <w:tcPr>
            <w:tcW w:w="1619" w:type="dxa"/>
            <w:vMerge w:val="continue"/>
            <w:tcBorders>
              <w:top w:val="nil"/>
              <w:bottom w:val="nil"/>
            </w:tcBorders>
          </w:tcPr>
          <w:p w14:paraId="7762ADE8">
            <w:pPr>
              <w:rPr>
                <w:rFonts w:hint="default" w:ascii="Times New Roman Regular" w:hAnsi="Times New Roman Regular" w:eastAsia="宋体" w:cs="Times New Roman Regular"/>
                <w:sz w:val="21"/>
                <w:szCs w:val="21"/>
                <w:lang w:eastAsia="zh-CN"/>
              </w:rPr>
            </w:pPr>
          </w:p>
        </w:tc>
        <w:tc>
          <w:tcPr>
            <w:tcW w:w="7849" w:type="dxa"/>
          </w:tcPr>
          <w:p w14:paraId="1FB69C36">
            <w:pPr>
              <w:pStyle w:val="5"/>
              <w:spacing w:before="33" w:line="200" w:lineRule="auto"/>
              <w:ind w:left="122"/>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pacing w:val="-1"/>
                <w:sz w:val="21"/>
                <w:szCs w:val="21"/>
              </w:rPr>
              <w:t>深圳市中医院</w:t>
            </w:r>
          </w:p>
        </w:tc>
      </w:tr>
      <w:tr w14:paraId="54678B05">
        <w:trPr>
          <w:trHeight w:val="413" w:hRule="atLeast"/>
        </w:trPr>
        <w:tc>
          <w:tcPr>
            <w:tcW w:w="1619" w:type="dxa"/>
            <w:vMerge w:val="continue"/>
            <w:tcBorders>
              <w:top w:val="nil"/>
              <w:bottom w:val="nil"/>
            </w:tcBorders>
          </w:tcPr>
          <w:p w14:paraId="2868B061">
            <w:pPr>
              <w:rPr>
                <w:rFonts w:hint="default" w:ascii="Times New Roman Regular" w:hAnsi="Times New Roman Regular" w:eastAsia="宋体" w:cs="Times New Roman Regular"/>
                <w:sz w:val="21"/>
                <w:szCs w:val="21"/>
                <w:lang w:eastAsia="zh-CN"/>
              </w:rPr>
            </w:pPr>
          </w:p>
        </w:tc>
        <w:tc>
          <w:tcPr>
            <w:tcW w:w="7849" w:type="dxa"/>
          </w:tcPr>
          <w:p w14:paraId="5343357B">
            <w:pPr>
              <w:pStyle w:val="5"/>
              <w:spacing w:before="33" w:line="200" w:lineRule="auto"/>
              <w:ind w:left="122"/>
              <w:rPr>
                <w:rFonts w:hint="default" w:ascii="Times New Roman Regular" w:hAnsi="Times New Roman Regular" w:eastAsia="宋体" w:cs="Times New Roman Regular"/>
                <w:spacing w:val="-1"/>
                <w:sz w:val="21"/>
                <w:szCs w:val="21"/>
              </w:rPr>
            </w:pPr>
            <w:r>
              <w:rPr>
                <w:rFonts w:hint="default" w:ascii="Times New Roman Regular" w:hAnsi="Times New Roman Regular" w:eastAsia="宋体" w:cs="Times New Roman Regular"/>
                <w:spacing w:val="-1"/>
                <w:sz w:val="21"/>
                <w:szCs w:val="21"/>
              </w:rPr>
              <w:t>中日友好医院</w:t>
            </w:r>
          </w:p>
        </w:tc>
      </w:tr>
      <w:tr w14:paraId="1A9977A9">
        <w:trPr>
          <w:trHeight w:val="417" w:hRule="atLeast"/>
        </w:trPr>
        <w:tc>
          <w:tcPr>
            <w:tcW w:w="1619" w:type="dxa"/>
            <w:vMerge w:val="continue"/>
            <w:tcBorders>
              <w:top w:val="nil"/>
            </w:tcBorders>
          </w:tcPr>
          <w:p w14:paraId="2751B718">
            <w:pPr>
              <w:rPr>
                <w:rFonts w:hint="default" w:ascii="Times New Roman Regular" w:hAnsi="Times New Roman Regular" w:eastAsia="宋体" w:cs="Times New Roman Regular"/>
                <w:sz w:val="21"/>
                <w:szCs w:val="21"/>
              </w:rPr>
            </w:pPr>
          </w:p>
        </w:tc>
        <w:tc>
          <w:tcPr>
            <w:tcW w:w="7849" w:type="dxa"/>
          </w:tcPr>
          <w:p w14:paraId="04E9DB94">
            <w:pPr>
              <w:pStyle w:val="5"/>
              <w:spacing w:before="33" w:line="200" w:lineRule="auto"/>
              <w:ind w:left="122"/>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pacing w:val="-1"/>
                <w:sz w:val="21"/>
                <w:szCs w:val="21"/>
                <w:lang w:eastAsia="zh-CN"/>
              </w:rPr>
              <w:t>广州康臣药业有限公司</w:t>
            </w:r>
          </w:p>
        </w:tc>
      </w:tr>
      <w:tr w14:paraId="1AB52CD9">
        <w:trPr>
          <w:trHeight w:val="402" w:hRule="atLeast"/>
        </w:trPr>
        <w:tc>
          <w:tcPr>
            <w:tcW w:w="1619" w:type="dxa"/>
            <w:vMerge w:val="restart"/>
            <w:tcBorders>
              <w:bottom w:val="nil"/>
            </w:tcBorders>
          </w:tcPr>
          <w:p w14:paraId="0C905F65">
            <w:pPr>
              <w:spacing w:line="346" w:lineRule="auto"/>
              <w:rPr>
                <w:rFonts w:hint="default" w:ascii="Times New Roman Regular" w:hAnsi="Times New Roman Regular" w:eastAsia="宋体" w:cs="Times New Roman Regular"/>
                <w:sz w:val="21"/>
                <w:szCs w:val="21"/>
                <w:lang w:eastAsia="zh-CN"/>
              </w:rPr>
            </w:pPr>
          </w:p>
          <w:p w14:paraId="19A866BB">
            <w:pPr>
              <w:pStyle w:val="5"/>
              <w:spacing w:before="91" w:line="190" w:lineRule="auto"/>
              <w:ind w:left="123" w:right="52" w:firstLine="175"/>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b/>
                <w:bCs/>
                <w:spacing w:val="4"/>
                <w:sz w:val="21"/>
                <w:szCs w:val="21"/>
                <w:lang w:eastAsia="zh-CN"/>
              </w:rPr>
              <w:t>主要完成人</w:t>
            </w:r>
            <w:r>
              <w:rPr>
                <w:rFonts w:hint="default" w:ascii="Times New Roman Regular" w:hAnsi="Times New Roman Regular" w:eastAsia="宋体" w:cs="Times New Roman Regular"/>
                <w:sz w:val="21"/>
                <w:szCs w:val="21"/>
                <w:lang w:eastAsia="zh-CN"/>
              </w:rPr>
              <w:t xml:space="preserve"> </w:t>
            </w:r>
            <w:r>
              <w:rPr>
                <w:rFonts w:hint="default" w:ascii="Times New Roman Regular" w:hAnsi="Times New Roman Regular" w:eastAsia="宋体" w:cs="Times New Roman Regular"/>
                <w:b/>
                <w:bCs/>
                <w:spacing w:val="-5"/>
                <w:sz w:val="21"/>
                <w:szCs w:val="21"/>
                <w:lang w:eastAsia="zh-CN"/>
              </w:rPr>
              <w:t>（职称、完成单</w:t>
            </w:r>
            <w:r>
              <w:rPr>
                <w:rFonts w:hint="default" w:ascii="Times New Roman Regular" w:hAnsi="Times New Roman Regular" w:eastAsia="宋体" w:cs="Times New Roman Regular"/>
                <w:b/>
                <w:bCs/>
                <w:spacing w:val="-2"/>
                <w:sz w:val="21"/>
                <w:szCs w:val="21"/>
                <w:lang w:eastAsia="zh-CN"/>
              </w:rPr>
              <w:t>位、</w:t>
            </w:r>
            <w:r>
              <w:rPr>
                <w:rFonts w:hint="default" w:ascii="Times New Roman Regular" w:hAnsi="Times New Roman Regular" w:eastAsia="宋体" w:cs="Times New Roman Regular"/>
                <w:spacing w:val="-30"/>
                <w:sz w:val="21"/>
                <w:szCs w:val="21"/>
                <w:lang w:eastAsia="zh-CN"/>
              </w:rPr>
              <w:t xml:space="preserve"> </w:t>
            </w:r>
            <w:r>
              <w:rPr>
                <w:rFonts w:hint="default" w:ascii="Times New Roman Regular" w:hAnsi="Times New Roman Regular" w:eastAsia="宋体" w:cs="Times New Roman Regular"/>
                <w:b/>
                <w:bCs/>
                <w:spacing w:val="-2"/>
                <w:sz w:val="21"/>
                <w:szCs w:val="21"/>
                <w:lang w:eastAsia="zh-CN"/>
              </w:rPr>
              <w:t>工作单位）</w:t>
            </w:r>
          </w:p>
        </w:tc>
        <w:tc>
          <w:tcPr>
            <w:tcW w:w="7849" w:type="dxa"/>
          </w:tcPr>
          <w:p w14:paraId="6C79E0E2">
            <w:pPr>
              <w:pStyle w:val="5"/>
              <w:spacing w:before="99" w:line="193" w:lineRule="auto"/>
              <w:ind w:left="129"/>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pacing w:val="3"/>
                <w:sz w:val="21"/>
                <w:szCs w:val="21"/>
                <w:lang w:eastAsia="zh-CN"/>
              </w:rPr>
              <w:t>1.刘旭生（主任医师，广州中医院大学第二附属医院/广东省中医院，主要贡献：项目总负责人，负责项目总体设计、组织实施与成果推广。指导从脾论治慢性肾衰竭中医诊治体系构建的循证评价与基础研究，建立中医慢病管理模式与推广应用。）</w:t>
            </w:r>
          </w:p>
        </w:tc>
      </w:tr>
      <w:tr w14:paraId="763963E0">
        <w:trPr>
          <w:trHeight w:val="402" w:hRule="atLeast"/>
        </w:trPr>
        <w:tc>
          <w:tcPr>
            <w:tcW w:w="1619" w:type="dxa"/>
            <w:vMerge w:val="continue"/>
            <w:tcBorders>
              <w:top w:val="nil"/>
              <w:bottom w:val="nil"/>
            </w:tcBorders>
          </w:tcPr>
          <w:p w14:paraId="33864624">
            <w:pPr>
              <w:rPr>
                <w:rFonts w:hint="default" w:ascii="Times New Roman Regular" w:hAnsi="Times New Roman Regular" w:eastAsia="宋体" w:cs="Times New Roman Regular"/>
                <w:sz w:val="21"/>
                <w:szCs w:val="21"/>
                <w:lang w:eastAsia="zh-CN"/>
              </w:rPr>
            </w:pPr>
          </w:p>
        </w:tc>
        <w:tc>
          <w:tcPr>
            <w:tcW w:w="7849" w:type="dxa"/>
          </w:tcPr>
          <w:p w14:paraId="413DAD97">
            <w:pPr>
              <w:pStyle w:val="5"/>
              <w:spacing w:before="97" w:line="194" w:lineRule="auto"/>
              <w:ind w:left="109"/>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pacing w:val="4"/>
                <w:sz w:val="21"/>
                <w:szCs w:val="21"/>
                <w:lang w:eastAsia="zh-CN"/>
              </w:rPr>
              <w:t>2.杨霓芝（主任医师，广州中医院大学第二附属医院/广东省中医院，主要贡献：参与项目总体设计与组织实施，负责三芪口服液临床与基础研究，提供中医理论和技术支持。）</w:t>
            </w:r>
          </w:p>
        </w:tc>
      </w:tr>
      <w:tr w14:paraId="0AC899E1">
        <w:trPr>
          <w:trHeight w:val="402" w:hRule="atLeast"/>
        </w:trPr>
        <w:tc>
          <w:tcPr>
            <w:tcW w:w="1619" w:type="dxa"/>
            <w:vMerge w:val="continue"/>
            <w:tcBorders>
              <w:top w:val="nil"/>
              <w:bottom w:val="nil"/>
            </w:tcBorders>
          </w:tcPr>
          <w:p w14:paraId="12B98968">
            <w:pPr>
              <w:rPr>
                <w:rFonts w:hint="default" w:ascii="Times New Roman Regular" w:hAnsi="Times New Roman Regular" w:eastAsia="宋体" w:cs="Times New Roman Regular"/>
                <w:sz w:val="21"/>
                <w:szCs w:val="21"/>
                <w:lang w:eastAsia="zh-CN"/>
              </w:rPr>
            </w:pPr>
          </w:p>
        </w:tc>
        <w:tc>
          <w:tcPr>
            <w:tcW w:w="7849" w:type="dxa"/>
          </w:tcPr>
          <w:p w14:paraId="72D90603">
            <w:pPr>
              <w:pStyle w:val="5"/>
              <w:spacing w:before="97" w:line="194" w:lineRule="auto"/>
              <w:ind w:left="113"/>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pacing w:val="4"/>
                <w:sz w:val="21"/>
                <w:szCs w:val="21"/>
                <w:lang w:eastAsia="zh-CN"/>
              </w:rPr>
              <w:t>3.毛炜（主任医师，广州中医院大学第二附属医院/广东省中医院，主要贡献：负责从脾论治慢性肾衰竭专利方药和诊治方案的研发与循证评价研究，参与制定多项技术标准。）</w:t>
            </w:r>
          </w:p>
        </w:tc>
      </w:tr>
      <w:tr w14:paraId="66904AC1">
        <w:trPr>
          <w:trHeight w:val="497" w:hRule="atLeast"/>
        </w:trPr>
        <w:tc>
          <w:tcPr>
            <w:tcW w:w="1619" w:type="dxa"/>
            <w:vMerge w:val="continue"/>
            <w:tcBorders>
              <w:top w:val="nil"/>
              <w:bottom w:val="nil"/>
            </w:tcBorders>
          </w:tcPr>
          <w:p w14:paraId="4759CECA">
            <w:pPr>
              <w:rPr>
                <w:rFonts w:hint="default" w:ascii="Times New Roman Regular" w:hAnsi="Times New Roman Regular" w:eastAsia="宋体" w:cs="Times New Roman Regular"/>
                <w:sz w:val="21"/>
                <w:szCs w:val="21"/>
                <w:lang w:eastAsia="zh-CN"/>
              </w:rPr>
            </w:pPr>
          </w:p>
        </w:tc>
        <w:tc>
          <w:tcPr>
            <w:tcW w:w="7849" w:type="dxa"/>
          </w:tcPr>
          <w:p w14:paraId="5B5F0003">
            <w:pPr>
              <w:pStyle w:val="5"/>
              <w:spacing w:before="97" w:line="194" w:lineRule="auto"/>
              <w:ind w:left="113"/>
              <w:rPr>
                <w:rFonts w:hint="default" w:ascii="Times New Roman Regular" w:hAnsi="Times New Roman Regular" w:eastAsia="宋体" w:cs="Times New Roman Regular"/>
                <w:spacing w:val="4"/>
                <w:sz w:val="21"/>
                <w:szCs w:val="21"/>
                <w:lang w:eastAsia="zh-CN"/>
              </w:rPr>
            </w:pPr>
            <w:r>
              <w:rPr>
                <w:rFonts w:hint="default" w:ascii="Times New Roman Regular" w:hAnsi="Times New Roman Regular" w:eastAsia="宋体" w:cs="Times New Roman Regular"/>
                <w:spacing w:val="4"/>
                <w:sz w:val="21"/>
                <w:szCs w:val="21"/>
                <w:lang w:eastAsia="zh-CN"/>
              </w:rPr>
              <w:t>4.李顺民（主任医师，深圳市中医院，主要贡献：指导从脾论治慢性肾衰竭中医理论体系构建，参与循证评价研究及成果推广。）</w:t>
            </w:r>
          </w:p>
        </w:tc>
      </w:tr>
      <w:tr w14:paraId="3165430D">
        <w:trPr>
          <w:trHeight w:val="402" w:hRule="atLeast"/>
        </w:trPr>
        <w:tc>
          <w:tcPr>
            <w:tcW w:w="1619" w:type="dxa"/>
            <w:vMerge w:val="continue"/>
            <w:tcBorders>
              <w:top w:val="nil"/>
              <w:bottom w:val="nil"/>
            </w:tcBorders>
          </w:tcPr>
          <w:p w14:paraId="1ECD1DE4">
            <w:pPr>
              <w:rPr>
                <w:rFonts w:hint="default" w:ascii="Times New Roman Regular" w:hAnsi="Times New Roman Regular" w:eastAsia="宋体" w:cs="Times New Roman Regular"/>
                <w:sz w:val="21"/>
                <w:szCs w:val="21"/>
                <w:lang w:eastAsia="zh-CN"/>
              </w:rPr>
            </w:pPr>
          </w:p>
        </w:tc>
        <w:tc>
          <w:tcPr>
            <w:tcW w:w="7849" w:type="dxa"/>
          </w:tcPr>
          <w:p w14:paraId="3E006D13">
            <w:pPr>
              <w:pStyle w:val="5"/>
              <w:spacing w:before="97" w:line="194" w:lineRule="auto"/>
              <w:ind w:left="113"/>
              <w:rPr>
                <w:rFonts w:hint="default" w:ascii="Times New Roman Regular" w:hAnsi="Times New Roman Regular" w:eastAsia="宋体" w:cs="Times New Roman Regular"/>
                <w:spacing w:val="4"/>
                <w:sz w:val="21"/>
                <w:szCs w:val="21"/>
                <w:lang w:eastAsia="zh-CN"/>
              </w:rPr>
            </w:pPr>
            <w:r>
              <w:rPr>
                <w:rFonts w:hint="default" w:ascii="Times New Roman Regular" w:hAnsi="Times New Roman Regular" w:eastAsia="宋体" w:cs="Times New Roman Regular"/>
                <w:spacing w:val="4"/>
                <w:sz w:val="21"/>
                <w:szCs w:val="21"/>
                <w:lang w:eastAsia="zh-CN"/>
              </w:rPr>
              <w:t>5.李平（主任医师，中日友好医院，主要贡献：参与从脾论治慢性肾衰竭中医诊治方案的循证评价研究与成果推广，为项目提供技术支持。）</w:t>
            </w:r>
          </w:p>
        </w:tc>
      </w:tr>
      <w:tr w14:paraId="1D5122D2">
        <w:trPr>
          <w:trHeight w:val="402" w:hRule="atLeast"/>
        </w:trPr>
        <w:tc>
          <w:tcPr>
            <w:tcW w:w="1619" w:type="dxa"/>
            <w:vMerge w:val="continue"/>
            <w:tcBorders>
              <w:top w:val="nil"/>
              <w:bottom w:val="nil"/>
            </w:tcBorders>
          </w:tcPr>
          <w:p w14:paraId="2416BFA3">
            <w:pPr>
              <w:rPr>
                <w:rFonts w:hint="default" w:ascii="Times New Roman Regular" w:hAnsi="Times New Roman Regular" w:eastAsia="宋体" w:cs="Times New Roman Regular"/>
                <w:sz w:val="21"/>
                <w:szCs w:val="21"/>
                <w:lang w:eastAsia="zh-CN"/>
              </w:rPr>
            </w:pPr>
          </w:p>
        </w:tc>
        <w:tc>
          <w:tcPr>
            <w:tcW w:w="7849" w:type="dxa"/>
          </w:tcPr>
          <w:p w14:paraId="17C28ABD">
            <w:pPr>
              <w:pStyle w:val="5"/>
              <w:spacing w:before="97" w:line="194" w:lineRule="auto"/>
              <w:ind w:left="113"/>
              <w:rPr>
                <w:rFonts w:hint="default" w:ascii="Times New Roman Regular" w:hAnsi="Times New Roman Regular" w:eastAsia="宋体" w:cs="Times New Roman Regular"/>
                <w:spacing w:val="4"/>
                <w:sz w:val="21"/>
                <w:szCs w:val="21"/>
                <w:lang w:eastAsia="zh-CN"/>
              </w:rPr>
            </w:pPr>
            <w:r>
              <w:rPr>
                <w:rFonts w:hint="default" w:ascii="Times New Roman Regular" w:hAnsi="Times New Roman Regular" w:eastAsia="宋体" w:cs="Times New Roman Regular"/>
                <w:spacing w:val="4"/>
                <w:sz w:val="21"/>
                <w:szCs w:val="21"/>
                <w:lang w:eastAsia="zh-CN"/>
              </w:rPr>
              <w:t>6.吴一帆（副研究员，广州中医院大学第二附属医院/广东省中医院，主要贡献：参与慢性肾衰竭中医慢病管理模式的建立，负责制定技术标准和管理工具研发。）</w:t>
            </w:r>
          </w:p>
        </w:tc>
      </w:tr>
      <w:tr w14:paraId="4B6D13CD">
        <w:trPr>
          <w:trHeight w:val="402" w:hRule="atLeast"/>
        </w:trPr>
        <w:tc>
          <w:tcPr>
            <w:tcW w:w="1619" w:type="dxa"/>
            <w:vMerge w:val="continue"/>
            <w:tcBorders>
              <w:top w:val="nil"/>
              <w:bottom w:val="nil"/>
            </w:tcBorders>
          </w:tcPr>
          <w:p w14:paraId="208C4205">
            <w:pPr>
              <w:rPr>
                <w:rFonts w:hint="default" w:ascii="Times New Roman Regular" w:hAnsi="Times New Roman Regular" w:eastAsia="宋体" w:cs="Times New Roman Regular"/>
                <w:sz w:val="21"/>
                <w:szCs w:val="21"/>
                <w:lang w:eastAsia="zh-CN"/>
              </w:rPr>
            </w:pPr>
          </w:p>
        </w:tc>
        <w:tc>
          <w:tcPr>
            <w:tcW w:w="7849" w:type="dxa"/>
          </w:tcPr>
          <w:p w14:paraId="3FCD8B7D">
            <w:pPr>
              <w:pStyle w:val="5"/>
              <w:spacing w:before="97" w:line="194" w:lineRule="auto"/>
              <w:ind w:left="113"/>
              <w:rPr>
                <w:rFonts w:hint="default" w:ascii="Times New Roman Regular" w:hAnsi="Times New Roman Regular" w:eastAsia="宋体" w:cs="Times New Roman Regular"/>
                <w:spacing w:val="4"/>
                <w:sz w:val="21"/>
                <w:szCs w:val="21"/>
                <w:lang w:eastAsia="zh-CN"/>
              </w:rPr>
            </w:pPr>
            <w:r>
              <w:rPr>
                <w:rFonts w:hint="default" w:ascii="Times New Roman Regular" w:hAnsi="Times New Roman Regular" w:eastAsia="宋体" w:cs="Times New Roman Regular"/>
                <w:spacing w:val="4"/>
                <w:sz w:val="21"/>
                <w:szCs w:val="21"/>
                <w:lang w:eastAsia="zh-CN"/>
              </w:rPr>
              <w:t>7.张蕾（研究员，广州中医院大学第二附属医院/广东省中医院，主要贡献：参与从脾论治慢性肾衰竭专利方药和诊治方案的构建、循证评价研究与推广应用）</w:t>
            </w:r>
          </w:p>
        </w:tc>
      </w:tr>
      <w:tr w14:paraId="6234CBCA">
        <w:trPr>
          <w:trHeight w:val="402" w:hRule="atLeast"/>
        </w:trPr>
        <w:tc>
          <w:tcPr>
            <w:tcW w:w="1619" w:type="dxa"/>
            <w:vMerge w:val="continue"/>
            <w:tcBorders>
              <w:top w:val="nil"/>
              <w:bottom w:val="nil"/>
            </w:tcBorders>
          </w:tcPr>
          <w:p w14:paraId="4278F5D4">
            <w:pPr>
              <w:rPr>
                <w:rFonts w:hint="default" w:ascii="Times New Roman Regular" w:hAnsi="Times New Roman Regular" w:eastAsia="宋体" w:cs="Times New Roman Regular"/>
                <w:sz w:val="21"/>
                <w:szCs w:val="21"/>
                <w:lang w:eastAsia="zh-CN"/>
              </w:rPr>
            </w:pPr>
          </w:p>
        </w:tc>
        <w:tc>
          <w:tcPr>
            <w:tcW w:w="7849" w:type="dxa"/>
          </w:tcPr>
          <w:p w14:paraId="357B9CA2">
            <w:pPr>
              <w:pStyle w:val="5"/>
              <w:spacing w:before="97" w:line="194" w:lineRule="auto"/>
              <w:ind w:left="113"/>
              <w:rPr>
                <w:rFonts w:hint="default" w:ascii="Times New Roman Regular" w:hAnsi="Times New Roman Regular" w:eastAsia="宋体" w:cs="Times New Roman Regular"/>
                <w:spacing w:val="4"/>
                <w:sz w:val="21"/>
                <w:szCs w:val="21"/>
                <w:lang w:eastAsia="zh-CN"/>
              </w:rPr>
            </w:pPr>
            <w:r>
              <w:rPr>
                <w:rFonts w:hint="default" w:ascii="Times New Roman Regular" w:hAnsi="Times New Roman Regular" w:eastAsia="宋体" w:cs="Times New Roman Regular"/>
                <w:spacing w:val="4"/>
                <w:sz w:val="21"/>
                <w:szCs w:val="21"/>
                <w:lang w:eastAsia="zh-CN"/>
              </w:rPr>
              <w:t>8.黎创（副主任医师，广州中医院大学第二附属医院/广东省中医院（主要贡献：参与从脾论治慢性肾衰竭专利方药和诊治方案的循证评价研究，参与制定技术标准）</w:t>
            </w:r>
          </w:p>
        </w:tc>
      </w:tr>
      <w:tr w14:paraId="499C8C7C">
        <w:trPr>
          <w:trHeight w:val="402" w:hRule="atLeast"/>
        </w:trPr>
        <w:tc>
          <w:tcPr>
            <w:tcW w:w="1619" w:type="dxa"/>
            <w:vMerge w:val="continue"/>
            <w:tcBorders>
              <w:top w:val="nil"/>
              <w:bottom w:val="nil"/>
            </w:tcBorders>
          </w:tcPr>
          <w:p w14:paraId="1ED7F44F">
            <w:pPr>
              <w:rPr>
                <w:rFonts w:hint="default" w:ascii="Times New Roman Regular" w:hAnsi="Times New Roman Regular" w:eastAsia="宋体" w:cs="Times New Roman Regular"/>
                <w:sz w:val="21"/>
                <w:szCs w:val="21"/>
                <w:lang w:eastAsia="zh-CN"/>
              </w:rPr>
            </w:pPr>
          </w:p>
        </w:tc>
        <w:tc>
          <w:tcPr>
            <w:tcW w:w="7849" w:type="dxa"/>
          </w:tcPr>
          <w:p w14:paraId="5DC42A6D">
            <w:pPr>
              <w:pStyle w:val="5"/>
              <w:spacing w:before="97" w:line="194" w:lineRule="auto"/>
              <w:ind w:left="113"/>
              <w:rPr>
                <w:rFonts w:hint="default" w:ascii="Times New Roman Regular" w:hAnsi="Times New Roman Regular" w:eastAsia="宋体" w:cs="Times New Roman Regular"/>
                <w:spacing w:val="4"/>
                <w:sz w:val="21"/>
                <w:szCs w:val="21"/>
                <w:lang w:eastAsia="zh-CN"/>
              </w:rPr>
            </w:pPr>
            <w:r>
              <w:rPr>
                <w:rFonts w:hint="default" w:ascii="Times New Roman Regular" w:hAnsi="Times New Roman Regular" w:eastAsia="宋体" w:cs="Times New Roman Regular"/>
                <w:spacing w:val="4"/>
                <w:sz w:val="21"/>
                <w:szCs w:val="21"/>
                <w:lang w:eastAsia="zh-CN"/>
              </w:rPr>
              <w:t>9.邹川（主任医师、广州中医院大学第二附属医院/广东省中医院，主要贡献：负责从脾论治慢性肾衰中医特色技术临床评价与基础研究）</w:t>
            </w:r>
          </w:p>
        </w:tc>
      </w:tr>
      <w:tr w14:paraId="5E31722F">
        <w:trPr>
          <w:trHeight w:val="402" w:hRule="atLeast"/>
        </w:trPr>
        <w:tc>
          <w:tcPr>
            <w:tcW w:w="1619" w:type="dxa"/>
            <w:vMerge w:val="continue"/>
            <w:tcBorders>
              <w:top w:val="nil"/>
              <w:bottom w:val="nil"/>
            </w:tcBorders>
          </w:tcPr>
          <w:p w14:paraId="0EC477A1">
            <w:pPr>
              <w:rPr>
                <w:rFonts w:hint="default" w:ascii="Times New Roman Regular" w:hAnsi="Times New Roman Regular" w:eastAsia="宋体" w:cs="Times New Roman Regular"/>
                <w:sz w:val="21"/>
                <w:szCs w:val="21"/>
                <w:lang w:eastAsia="zh-CN"/>
              </w:rPr>
            </w:pPr>
          </w:p>
        </w:tc>
        <w:tc>
          <w:tcPr>
            <w:tcW w:w="7849" w:type="dxa"/>
          </w:tcPr>
          <w:p w14:paraId="222E1D94">
            <w:pPr>
              <w:pStyle w:val="5"/>
              <w:spacing w:before="97" w:line="194" w:lineRule="auto"/>
              <w:ind w:left="113"/>
              <w:rPr>
                <w:rFonts w:hint="default" w:ascii="Times New Roman Regular" w:hAnsi="Times New Roman Regular" w:eastAsia="宋体" w:cs="Times New Roman Regular"/>
                <w:spacing w:val="4"/>
                <w:sz w:val="21"/>
                <w:szCs w:val="21"/>
                <w:lang w:eastAsia="zh-CN"/>
              </w:rPr>
            </w:pPr>
            <w:r>
              <w:rPr>
                <w:rFonts w:hint="default" w:ascii="Times New Roman Regular" w:hAnsi="Times New Roman Regular" w:eastAsia="宋体" w:cs="Times New Roman Regular"/>
                <w:spacing w:val="4"/>
                <w:sz w:val="21"/>
                <w:szCs w:val="21"/>
                <w:lang w:eastAsia="zh-CN"/>
              </w:rPr>
              <w:t>10.卢富华（主任医师，广州中医院大学第二附属医院/广东省中医院，主要贡献：参与从脾论治慢性肾衰竭专利方药和诊治方案的构建与循证评价研究，负责补脾益肾方基础研究）</w:t>
            </w:r>
          </w:p>
        </w:tc>
      </w:tr>
      <w:tr w14:paraId="5B2EC6C6">
        <w:trPr>
          <w:trHeight w:val="402" w:hRule="atLeast"/>
        </w:trPr>
        <w:tc>
          <w:tcPr>
            <w:tcW w:w="1619" w:type="dxa"/>
            <w:vMerge w:val="continue"/>
            <w:tcBorders>
              <w:top w:val="nil"/>
              <w:bottom w:val="nil"/>
            </w:tcBorders>
          </w:tcPr>
          <w:p w14:paraId="75E17214">
            <w:pPr>
              <w:rPr>
                <w:rFonts w:hint="default" w:ascii="Times New Roman Regular" w:hAnsi="Times New Roman Regular" w:eastAsia="宋体" w:cs="Times New Roman Regular"/>
                <w:sz w:val="21"/>
                <w:szCs w:val="21"/>
                <w:lang w:eastAsia="zh-CN"/>
              </w:rPr>
            </w:pPr>
          </w:p>
        </w:tc>
        <w:tc>
          <w:tcPr>
            <w:tcW w:w="7849" w:type="dxa"/>
          </w:tcPr>
          <w:p w14:paraId="64E25DA1">
            <w:pPr>
              <w:pStyle w:val="5"/>
              <w:spacing w:before="97" w:line="194" w:lineRule="auto"/>
              <w:ind w:left="113"/>
              <w:rPr>
                <w:rFonts w:hint="default" w:ascii="Times New Roman Regular" w:hAnsi="Times New Roman Regular" w:eastAsia="宋体" w:cs="Times New Roman Regular"/>
                <w:spacing w:val="4"/>
                <w:sz w:val="21"/>
                <w:szCs w:val="21"/>
                <w:lang w:eastAsia="zh-CN"/>
              </w:rPr>
            </w:pPr>
            <w:r>
              <w:rPr>
                <w:rFonts w:hint="default" w:ascii="Times New Roman Regular" w:hAnsi="Times New Roman Regular" w:eastAsia="宋体" w:cs="Times New Roman Regular"/>
                <w:spacing w:val="4"/>
                <w:sz w:val="21"/>
                <w:szCs w:val="21"/>
                <w:lang w:eastAsia="zh-CN"/>
              </w:rPr>
              <w:t>11.徐鹏（副研究员，广州中医院大学第二附属医院/广东省中医院，主要贡献：负责三芪口服液临床与基础研究）</w:t>
            </w:r>
          </w:p>
        </w:tc>
      </w:tr>
      <w:tr w14:paraId="49FA2165">
        <w:trPr>
          <w:trHeight w:val="402" w:hRule="atLeast"/>
        </w:trPr>
        <w:tc>
          <w:tcPr>
            <w:tcW w:w="1619" w:type="dxa"/>
            <w:vMerge w:val="continue"/>
            <w:tcBorders>
              <w:top w:val="nil"/>
              <w:bottom w:val="nil"/>
            </w:tcBorders>
          </w:tcPr>
          <w:p w14:paraId="47A11026">
            <w:pPr>
              <w:rPr>
                <w:rFonts w:hint="default" w:ascii="Times New Roman Regular" w:hAnsi="Times New Roman Regular" w:eastAsia="宋体" w:cs="Times New Roman Regular"/>
                <w:sz w:val="21"/>
                <w:szCs w:val="21"/>
                <w:lang w:eastAsia="zh-CN"/>
              </w:rPr>
            </w:pPr>
          </w:p>
        </w:tc>
        <w:tc>
          <w:tcPr>
            <w:tcW w:w="7849" w:type="dxa"/>
          </w:tcPr>
          <w:p w14:paraId="08F56A42">
            <w:pPr>
              <w:pStyle w:val="5"/>
              <w:spacing w:before="97" w:line="194" w:lineRule="auto"/>
              <w:ind w:left="113"/>
              <w:rPr>
                <w:rFonts w:hint="default" w:ascii="Times New Roman Regular" w:hAnsi="Times New Roman Regular" w:eastAsia="宋体" w:cs="Times New Roman Regular"/>
                <w:spacing w:val="4"/>
                <w:sz w:val="21"/>
                <w:szCs w:val="21"/>
                <w:lang w:eastAsia="zh-CN"/>
              </w:rPr>
            </w:pPr>
            <w:r>
              <w:rPr>
                <w:rFonts w:hint="default" w:ascii="Times New Roman Regular" w:hAnsi="Times New Roman Regular" w:eastAsia="宋体" w:cs="Times New Roman Regular"/>
                <w:spacing w:val="4"/>
                <w:sz w:val="21"/>
                <w:szCs w:val="21"/>
                <w:lang w:eastAsia="zh-CN"/>
              </w:rPr>
              <w:t>12.卢钊宇（副主任医师，广州中医院大学第二附属医院/广东省中医院，主要贡献：参与补脾益肾方与中医特色技术基础研究）</w:t>
            </w:r>
          </w:p>
        </w:tc>
      </w:tr>
      <w:tr w14:paraId="374B96D3">
        <w:trPr>
          <w:trHeight w:val="402" w:hRule="atLeast"/>
        </w:trPr>
        <w:tc>
          <w:tcPr>
            <w:tcW w:w="1619" w:type="dxa"/>
            <w:vMerge w:val="continue"/>
            <w:tcBorders>
              <w:top w:val="nil"/>
              <w:bottom w:val="nil"/>
            </w:tcBorders>
          </w:tcPr>
          <w:p w14:paraId="0D397F51">
            <w:pPr>
              <w:rPr>
                <w:rFonts w:hint="default" w:ascii="Times New Roman Regular" w:hAnsi="Times New Roman Regular" w:eastAsia="宋体" w:cs="Times New Roman Regular"/>
                <w:sz w:val="21"/>
                <w:szCs w:val="21"/>
                <w:lang w:eastAsia="zh-CN"/>
              </w:rPr>
            </w:pPr>
          </w:p>
        </w:tc>
        <w:tc>
          <w:tcPr>
            <w:tcW w:w="7849" w:type="dxa"/>
          </w:tcPr>
          <w:p w14:paraId="71D5EF55">
            <w:pPr>
              <w:pStyle w:val="5"/>
              <w:spacing w:before="97" w:line="194" w:lineRule="auto"/>
              <w:ind w:left="113"/>
              <w:rPr>
                <w:rFonts w:hint="default" w:ascii="Times New Roman Regular" w:hAnsi="Times New Roman Regular" w:eastAsia="宋体" w:cs="Times New Roman Regular"/>
                <w:spacing w:val="4"/>
                <w:sz w:val="21"/>
                <w:szCs w:val="21"/>
                <w:lang w:eastAsia="zh-CN"/>
              </w:rPr>
            </w:pPr>
            <w:r>
              <w:rPr>
                <w:rFonts w:hint="default" w:ascii="Times New Roman Regular" w:hAnsi="Times New Roman Regular" w:eastAsia="宋体" w:cs="Times New Roman Regular"/>
                <w:spacing w:val="4"/>
                <w:sz w:val="21"/>
                <w:szCs w:val="21"/>
                <w:lang w:eastAsia="zh-CN"/>
              </w:rPr>
              <w:t>13.苏国彬（副研究员，广州中医院大学第二附属医院/广东省中医院，主要贡献：负责从脾论治慢性肾衰竭并发症中医防治技术临床研究）</w:t>
            </w:r>
          </w:p>
        </w:tc>
      </w:tr>
      <w:tr w14:paraId="7E9EC6E7">
        <w:trPr>
          <w:trHeight w:val="402" w:hRule="atLeast"/>
        </w:trPr>
        <w:tc>
          <w:tcPr>
            <w:tcW w:w="1619" w:type="dxa"/>
            <w:vMerge w:val="continue"/>
            <w:tcBorders>
              <w:top w:val="nil"/>
              <w:bottom w:val="nil"/>
            </w:tcBorders>
          </w:tcPr>
          <w:p w14:paraId="3BD5B61B">
            <w:pPr>
              <w:rPr>
                <w:rFonts w:hint="default" w:ascii="Times New Roman Regular" w:hAnsi="Times New Roman Regular" w:eastAsia="宋体" w:cs="Times New Roman Regular"/>
                <w:sz w:val="21"/>
                <w:szCs w:val="21"/>
                <w:lang w:eastAsia="zh-CN"/>
              </w:rPr>
            </w:pPr>
          </w:p>
        </w:tc>
        <w:tc>
          <w:tcPr>
            <w:tcW w:w="7849" w:type="dxa"/>
          </w:tcPr>
          <w:p w14:paraId="10B804DA">
            <w:pPr>
              <w:pStyle w:val="5"/>
              <w:spacing w:before="97" w:line="194" w:lineRule="auto"/>
              <w:ind w:left="113"/>
              <w:rPr>
                <w:rFonts w:hint="default" w:ascii="Times New Roman Regular" w:hAnsi="Times New Roman Regular" w:eastAsia="宋体" w:cs="Times New Roman Regular"/>
                <w:spacing w:val="4"/>
                <w:sz w:val="21"/>
                <w:szCs w:val="21"/>
                <w:lang w:eastAsia="zh-CN"/>
              </w:rPr>
            </w:pPr>
            <w:r>
              <w:rPr>
                <w:rFonts w:hint="default" w:ascii="Times New Roman Regular" w:hAnsi="Times New Roman Regular" w:eastAsia="宋体" w:cs="Times New Roman Regular"/>
                <w:spacing w:val="4"/>
                <w:sz w:val="21"/>
                <w:szCs w:val="21"/>
                <w:lang w:eastAsia="zh-CN"/>
              </w:rPr>
              <w:t>14.张腊（主治医师，广州中医院大学第二附属医院/广东省中医院，主要贡献：参与从脾论治慢性肾衰竭专利方药的循证评价研究，参与制定技术标准）</w:t>
            </w:r>
          </w:p>
        </w:tc>
      </w:tr>
      <w:tr w14:paraId="6560F1F0">
        <w:trPr>
          <w:trHeight w:val="402" w:hRule="atLeast"/>
        </w:trPr>
        <w:tc>
          <w:tcPr>
            <w:tcW w:w="1619" w:type="dxa"/>
            <w:vMerge w:val="continue"/>
            <w:tcBorders>
              <w:top w:val="nil"/>
              <w:bottom w:val="single" w:color="000000" w:sz="2" w:space="0"/>
            </w:tcBorders>
          </w:tcPr>
          <w:p w14:paraId="09EC4954">
            <w:pPr>
              <w:rPr>
                <w:rFonts w:hint="default" w:ascii="Times New Roman Regular" w:hAnsi="Times New Roman Regular" w:eastAsia="宋体" w:cs="Times New Roman Regular"/>
                <w:sz w:val="21"/>
                <w:szCs w:val="21"/>
                <w:lang w:eastAsia="zh-CN"/>
              </w:rPr>
            </w:pPr>
          </w:p>
        </w:tc>
        <w:tc>
          <w:tcPr>
            <w:tcW w:w="7849" w:type="dxa"/>
            <w:tcBorders>
              <w:bottom w:val="single" w:color="000000" w:sz="2" w:space="0"/>
            </w:tcBorders>
          </w:tcPr>
          <w:p w14:paraId="48C5BFEE">
            <w:pPr>
              <w:pStyle w:val="5"/>
              <w:spacing w:before="97" w:line="194" w:lineRule="auto"/>
              <w:ind w:left="113"/>
              <w:rPr>
                <w:rFonts w:hint="default" w:ascii="Times New Roman Regular" w:hAnsi="Times New Roman Regular" w:eastAsia="宋体" w:cs="Times New Roman Regular"/>
                <w:spacing w:val="4"/>
                <w:sz w:val="21"/>
                <w:szCs w:val="21"/>
                <w:lang w:eastAsia="zh-CN"/>
              </w:rPr>
            </w:pPr>
            <w:r>
              <w:rPr>
                <w:rFonts w:hint="default" w:ascii="Times New Roman Regular" w:hAnsi="Times New Roman Regular" w:eastAsia="宋体" w:cs="Times New Roman Regular"/>
                <w:spacing w:val="4"/>
                <w:sz w:val="21"/>
                <w:szCs w:val="21"/>
                <w:lang w:eastAsia="zh-CN"/>
              </w:rPr>
              <w:t>15.安猛（广州康臣药业有限公司，主要贡献：为从脾论治慢性肾衰竭专利方药的循证评价研究提供技术指导，参与项目成果推广应用）</w:t>
            </w:r>
          </w:p>
        </w:tc>
      </w:tr>
      <w:tr w14:paraId="479E8E0B">
        <w:trPr>
          <w:trHeight w:val="402" w:hRule="atLeast"/>
        </w:trPr>
        <w:tc>
          <w:tcPr>
            <w:tcW w:w="1619" w:type="dxa"/>
            <w:vMerge w:val="restart"/>
            <w:tcBorders>
              <w:bottom w:val="single" w:color="auto" w:sz="4" w:space="0"/>
            </w:tcBorders>
          </w:tcPr>
          <w:p w14:paraId="6DB1E065">
            <w:pPr>
              <w:spacing w:line="479" w:lineRule="auto"/>
              <w:rPr>
                <w:rFonts w:hint="default" w:ascii="Times New Roman Regular" w:hAnsi="Times New Roman Regular" w:eastAsia="宋体" w:cs="Times New Roman Regular"/>
                <w:sz w:val="21"/>
                <w:szCs w:val="21"/>
                <w:lang w:eastAsia="zh-CN"/>
              </w:rPr>
            </w:pPr>
          </w:p>
          <w:p w14:paraId="5BFA7BB3">
            <w:pPr>
              <w:pStyle w:val="5"/>
              <w:spacing w:before="91" w:line="196" w:lineRule="auto"/>
              <w:ind w:left="399" w:right="283" w:hanging="103"/>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bCs/>
                <w:spacing w:val="4"/>
                <w:sz w:val="21"/>
                <w:szCs w:val="21"/>
              </w:rPr>
              <w:t>代表性论文专著目录</w:t>
            </w:r>
          </w:p>
        </w:tc>
        <w:tc>
          <w:tcPr>
            <w:tcW w:w="7849" w:type="dxa"/>
            <w:tcBorders>
              <w:bottom w:val="single" w:color="auto" w:sz="4" w:space="0"/>
            </w:tcBorders>
          </w:tcPr>
          <w:p w14:paraId="3368695B">
            <w:pPr>
              <w:pStyle w:val="5"/>
              <w:spacing w:before="97" w:line="194" w:lineRule="auto"/>
              <w:ind w:left="119"/>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pacing w:val="2"/>
                <w:sz w:val="21"/>
                <w:szCs w:val="21"/>
                <w:lang w:eastAsia="zh-CN"/>
              </w:rPr>
              <w:t>论文1: 刘旭生教授运用补脾益肾法治疗慢性肾脏病的学术经验、世界科学技术-中医药现代化、2020年22 卷、第一作者：刘枚芳；通讯作者：刘旭生、张蕾</w:t>
            </w:r>
          </w:p>
        </w:tc>
      </w:tr>
      <w:tr w14:paraId="79550F5B">
        <w:trPr>
          <w:trHeight w:val="402" w:hRule="atLeast"/>
        </w:trPr>
        <w:tc>
          <w:tcPr>
            <w:tcW w:w="1619" w:type="dxa"/>
            <w:vMerge w:val="continue"/>
            <w:tcBorders>
              <w:top w:val="single" w:color="auto" w:sz="4" w:space="0"/>
              <w:bottom w:val="nil"/>
            </w:tcBorders>
          </w:tcPr>
          <w:p w14:paraId="28BC0880">
            <w:pPr>
              <w:rPr>
                <w:rFonts w:hint="default" w:ascii="Times New Roman Regular" w:hAnsi="Times New Roman Regular" w:eastAsia="宋体" w:cs="Times New Roman Regular"/>
                <w:sz w:val="21"/>
                <w:szCs w:val="21"/>
                <w:lang w:eastAsia="zh-CN"/>
              </w:rPr>
            </w:pPr>
          </w:p>
        </w:tc>
        <w:tc>
          <w:tcPr>
            <w:tcW w:w="7849" w:type="dxa"/>
            <w:tcBorders>
              <w:top w:val="single" w:color="auto" w:sz="4" w:space="0"/>
            </w:tcBorders>
          </w:tcPr>
          <w:p w14:paraId="509EDB6F">
            <w:pPr>
              <w:pStyle w:val="5"/>
              <w:spacing w:before="99" w:line="193" w:lineRule="auto"/>
              <w:ind w:left="119"/>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pacing w:val="2"/>
                <w:sz w:val="21"/>
                <w:szCs w:val="21"/>
                <w:lang w:eastAsia="zh-CN"/>
              </w:rPr>
              <w:t>论文2：Bupi Yishen Formula Versus Losartan for Non-Diabetic Stage 4 Chronic Kidney Disease: A Randomized Controlled Trial、Frontiers in Pharmacology、2020年11卷、第一作者：毛炜、杨霓芝；通讯作者：温泽淮、刘旭生</w:t>
            </w:r>
          </w:p>
        </w:tc>
      </w:tr>
      <w:tr w14:paraId="22F0F58C">
        <w:trPr>
          <w:trHeight w:val="402" w:hRule="atLeast"/>
        </w:trPr>
        <w:tc>
          <w:tcPr>
            <w:tcW w:w="1619" w:type="dxa"/>
            <w:vMerge w:val="continue"/>
            <w:tcBorders>
              <w:top w:val="single" w:color="auto" w:sz="4" w:space="0"/>
              <w:bottom w:val="nil"/>
            </w:tcBorders>
          </w:tcPr>
          <w:p w14:paraId="07BA797D">
            <w:pPr>
              <w:rPr>
                <w:rFonts w:hint="default" w:ascii="Times New Roman Regular" w:hAnsi="Times New Roman Regular" w:eastAsia="宋体" w:cs="Times New Roman Regular"/>
                <w:sz w:val="21"/>
                <w:szCs w:val="21"/>
                <w:lang w:eastAsia="zh-CN"/>
              </w:rPr>
            </w:pPr>
          </w:p>
        </w:tc>
        <w:tc>
          <w:tcPr>
            <w:tcW w:w="7849" w:type="dxa"/>
            <w:tcBorders>
              <w:top w:val="single" w:color="auto" w:sz="4" w:space="0"/>
            </w:tcBorders>
          </w:tcPr>
          <w:p w14:paraId="17D35F05">
            <w:pPr>
              <w:pStyle w:val="5"/>
              <w:spacing w:before="99" w:line="193" w:lineRule="auto"/>
              <w:ind w:left="119"/>
              <w:rPr>
                <w:rFonts w:hint="default" w:ascii="Times New Roman Regular" w:hAnsi="Times New Roman Regular" w:eastAsia="宋体" w:cs="Times New Roman Regular"/>
                <w:spacing w:val="2"/>
                <w:sz w:val="21"/>
                <w:szCs w:val="21"/>
                <w:lang w:eastAsia="zh-CN"/>
              </w:rPr>
            </w:pPr>
            <w:r>
              <w:rPr>
                <w:rFonts w:hint="default" w:ascii="Times New Roman Regular" w:hAnsi="Times New Roman Regular" w:eastAsia="宋体" w:cs="Times New Roman Regular"/>
                <w:spacing w:val="2"/>
                <w:sz w:val="21"/>
                <w:szCs w:val="21"/>
                <w:lang w:eastAsia="zh-CN"/>
              </w:rPr>
              <w:t>论文3：Colon may provide new therapeutic targets for treatment of chronic kidney disease with Chinese medicine、Chinese Journal of Integrative Medicine、2013年19 卷、第一作者：邹川；通讯作者：刘旭生</w:t>
            </w:r>
          </w:p>
        </w:tc>
      </w:tr>
      <w:tr w14:paraId="3A9332C1">
        <w:trPr>
          <w:trHeight w:val="402" w:hRule="atLeast"/>
        </w:trPr>
        <w:tc>
          <w:tcPr>
            <w:tcW w:w="1619" w:type="dxa"/>
            <w:vMerge w:val="continue"/>
            <w:tcBorders>
              <w:top w:val="nil"/>
              <w:bottom w:val="nil"/>
            </w:tcBorders>
          </w:tcPr>
          <w:p w14:paraId="39AFC41B">
            <w:pPr>
              <w:rPr>
                <w:rFonts w:hint="default" w:ascii="Times New Roman Regular" w:hAnsi="Times New Roman Regular" w:eastAsia="宋体" w:cs="Times New Roman Regular"/>
                <w:sz w:val="21"/>
                <w:szCs w:val="21"/>
                <w:lang w:eastAsia="zh-CN"/>
              </w:rPr>
            </w:pPr>
          </w:p>
        </w:tc>
        <w:tc>
          <w:tcPr>
            <w:tcW w:w="7849" w:type="dxa"/>
          </w:tcPr>
          <w:p w14:paraId="27030994">
            <w:pPr>
              <w:pStyle w:val="5"/>
              <w:spacing w:before="99" w:line="193" w:lineRule="auto"/>
              <w:ind w:left="119"/>
              <w:rPr>
                <w:rFonts w:hint="default" w:ascii="Times New Roman Regular" w:hAnsi="Times New Roman Regular" w:eastAsia="宋体" w:cs="Times New Roman Regular"/>
                <w:spacing w:val="2"/>
                <w:sz w:val="21"/>
                <w:szCs w:val="21"/>
                <w:lang w:eastAsia="zh-CN"/>
              </w:rPr>
            </w:pPr>
            <w:r>
              <w:rPr>
                <w:rFonts w:hint="default" w:ascii="Times New Roman Regular" w:hAnsi="Times New Roman Regular" w:eastAsia="宋体" w:cs="Times New Roman Regular"/>
                <w:spacing w:val="2"/>
                <w:sz w:val="21"/>
                <w:szCs w:val="21"/>
                <w:lang w:eastAsia="zh-CN"/>
              </w:rPr>
              <w:t>论文4：Bupi Yishen formula may prevent kidney fibrosis by modulating fatty acid metabolism in renal tubules、Phytomedicine、2023年114卷、第一作者：刘炳然、揭西娜；通讯作者：刘旭生;张迪飞</w:t>
            </w:r>
          </w:p>
        </w:tc>
      </w:tr>
      <w:tr w14:paraId="0084C8FA">
        <w:trPr>
          <w:trHeight w:val="402" w:hRule="atLeast"/>
        </w:trPr>
        <w:tc>
          <w:tcPr>
            <w:tcW w:w="1619" w:type="dxa"/>
            <w:vMerge w:val="continue"/>
            <w:tcBorders>
              <w:top w:val="nil"/>
              <w:bottom w:val="single" w:color="auto" w:sz="4" w:space="0"/>
            </w:tcBorders>
          </w:tcPr>
          <w:p w14:paraId="2EBD43EA">
            <w:pPr>
              <w:rPr>
                <w:rFonts w:hint="default" w:ascii="Times New Roman Regular" w:hAnsi="Times New Roman Regular" w:eastAsia="宋体" w:cs="Times New Roman Regular"/>
                <w:sz w:val="21"/>
                <w:szCs w:val="21"/>
                <w:lang w:eastAsia="zh-CN"/>
              </w:rPr>
            </w:pPr>
          </w:p>
        </w:tc>
        <w:tc>
          <w:tcPr>
            <w:tcW w:w="7849" w:type="dxa"/>
            <w:tcBorders>
              <w:bottom w:val="single" w:color="auto" w:sz="4" w:space="0"/>
            </w:tcBorders>
          </w:tcPr>
          <w:p w14:paraId="2DE33569">
            <w:pPr>
              <w:pStyle w:val="5"/>
              <w:spacing w:before="99" w:line="193" w:lineRule="auto"/>
              <w:ind w:left="119"/>
              <w:rPr>
                <w:rFonts w:hint="default" w:ascii="Times New Roman Regular" w:hAnsi="Times New Roman Regular" w:eastAsia="宋体" w:cs="Times New Roman Regular"/>
                <w:spacing w:val="2"/>
                <w:sz w:val="21"/>
                <w:szCs w:val="21"/>
                <w:lang w:eastAsia="zh-CN"/>
              </w:rPr>
            </w:pPr>
            <w:r>
              <w:rPr>
                <w:rFonts w:hint="default" w:ascii="Times New Roman Regular" w:hAnsi="Times New Roman Regular" w:eastAsia="宋体" w:cs="Times New Roman Regular"/>
                <w:spacing w:val="2"/>
                <w:sz w:val="21"/>
                <w:szCs w:val="21"/>
                <w:lang w:eastAsia="zh-CN"/>
              </w:rPr>
              <w:t>专著：慢病管理实务图解、化学工业出版社、主编：吴一帆、邹涛；副主编：邓丽丽、陈燕华、傅立哲、张园、彭苏元</w:t>
            </w:r>
          </w:p>
        </w:tc>
      </w:tr>
    </w:tbl>
    <w:p w14:paraId="46C9E18B">
      <w:pPr>
        <w:rPr>
          <w:rFonts w:hint="default" w:ascii="Times New Roman Regular" w:hAnsi="Times New Roman Regular" w:eastAsia="宋体" w:cs="Times New Roman Regular"/>
          <w:sz w:val="21"/>
          <w:szCs w:val="21"/>
          <w:lang w:eastAsia="zh-CN"/>
        </w:rPr>
      </w:pPr>
      <w:bookmarkStart w:id="0" w:name="_GoBack"/>
      <w:bookmarkEnd w:id="0"/>
    </w:p>
    <w:sectPr>
      <w:footerReference r:id="rId3" w:type="default"/>
      <w:pgSz w:w="11906" w:h="16838"/>
      <w:pgMar w:top="820" w:right="933" w:bottom="1159" w:left="1499" w:header="0" w:footer="8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PingFang SC">
    <w:panose1 w:val="020B0400000000000000"/>
    <w:charset w:val="86"/>
    <w:family w:val="auto"/>
    <w:pitch w:val="default"/>
    <w:sig w:usb0="A00002FF" w:usb1="7ACFFDFB" w:usb2="00000017"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FangSong">
    <w:altName w:val="方正仿宋_GBK"/>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微软雅黑">
    <w:altName w:val="汉仪旗黑"/>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E765">
    <w:pPr>
      <w:spacing w:line="330" w:lineRule="exact"/>
      <w:ind w:left="211"/>
      <w:rPr>
        <w:sz w:val="28"/>
        <w:szCs w:val="28"/>
      </w:rPr>
    </w:pPr>
    <w:r>
      <w:pict>
        <v:shape id="_x0000_s1025" o:spid="_x0000_s1025" o:spt="202" type="#_x0000_t202" style="position:absolute;left:0pt;margin-left:228.7pt;margin-top:3pt;height:6.35pt;width:16.55pt;z-index:251659264;mso-width-relative:page;mso-height-relative:page;" filled="f" stroked="f" coordsize="21600,21600">
          <v:path/>
          <v:fill on="f" focussize="0,0"/>
          <v:stroke on="f" joinstyle="miter"/>
          <v:imagedata o:title=""/>
          <o:lock v:ext="edit"/>
          <v:textbox inset="0mm,0mm,0mm,0mm">
            <w:txbxContent>
              <w:p w14:paraId="03AADDDA">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v:textbox>
        </v:shape>
      </w:pict>
    </w:r>
    <w:r>
      <w:rPr>
        <w:spacing w:val="15"/>
        <w:sz w:val="28"/>
        <w:szCs w:val="28"/>
      </w:rPr>
      <w:t>-</w:t>
    </w:r>
    <w:r>
      <w:rPr>
        <w:spacing w:val="75"/>
        <w:w w:val="101"/>
        <w:sz w:val="28"/>
        <w:szCs w:val="28"/>
      </w:rPr>
      <w:t xml:space="preserve"> </w:t>
    </w:r>
    <w:r>
      <w:rPr>
        <w:spacing w:val="15"/>
        <w:sz w:val="28"/>
        <w:szCs w:val="28"/>
      </w:rPr>
      <w:t>2</w:t>
    </w:r>
    <w:r>
      <w:rPr>
        <w:spacing w:val="71"/>
        <w:sz w:val="28"/>
        <w:szCs w:val="28"/>
      </w:rPr>
      <w:t xml:space="preserve"> </w:t>
    </w:r>
    <w:r>
      <w:rPr>
        <w:spacing w:val="15"/>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SystemFonts/>
  <w:bordersDoNotSurroundHeader w:val="1"/>
  <w:bordersDoNotSurroundFooter w:val="1"/>
  <w:documentProtection w:enforcement="0"/>
  <w:defaultTabStop w:val="420"/>
  <w:characterSpacingControl w:val="doNotCompress"/>
  <w:hdrShapeDefaults>
    <o:shapelayout v:ext="edit">
      <o:idmap v:ext="edit" data="1"/>
    </o:shapelayout>
  </w:hdrShapeDefaults>
  <w:compat>
    <w:spaceForUL/>
    <w:ulTrailSpace/>
    <w:useFELayout/>
    <w:compatSetting w:name="compatibilityMode" w:uri="http://schemas.microsoft.com/office/word" w:val="14"/>
  </w:compat>
  <w:rsids>
    <w:rsidRoot w:val="00EF5DB1"/>
    <w:rsid w:val="00032AEC"/>
    <w:rsid w:val="00140DB5"/>
    <w:rsid w:val="002077EF"/>
    <w:rsid w:val="004163F2"/>
    <w:rsid w:val="00544E1C"/>
    <w:rsid w:val="006A56FF"/>
    <w:rsid w:val="00923FE3"/>
    <w:rsid w:val="00984EA9"/>
    <w:rsid w:val="009A7DC7"/>
    <w:rsid w:val="00C631F6"/>
    <w:rsid w:val="00C83F2E"/>
    <w:rsid w:val="00CF4A4E"/>
    <w:rsid w:val="00D15726"/>
    <w:rsid w:val="00E56FB8"/>
    <w:rsid w:val="00EF5DB1"/>
    <w:rsid w:val="7FF9C545"/>
    <w:rsid w:val="F7FF7F3D"/>
    <w:rsid w:val="FF3E5319"/>
    <w:rsid w:val="FF7F0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PingFang SC" w:hAnsi="PingFang SC" w:eastAsia="PingFang SC" w:cs="PingFang SC"/>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287</Words>
  <Characters>1640</Characters>
  <Lines>13</Lines>
  <Paragraphs>3</Paragraphs>
  <TotalTime>18</TotalTime>
  <ScaleCrop>false</ScaleCrop>
  <LinksUpToDate>false</LinksUpToDate>
  <CharactersWithSpaces>1924</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2025-12-24T19:57:00Z</dcterms:created>
  <dc:creator>邬亚男</dc:creator>
  <cp:lastModifiedBy>szy</cp:lastModifiedBy>
  <dcterms:modified xsi:type="dcterms:W3CDTF">2025-12-25T11:41:45Z</dcterms:modified>
  <dc:title>附件4 广东省科学技术奖提名公示内容</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2025-12-04T12:23:39Z</vt:filetime>
  </property>
  <property fmtid="{D5CDD505-2E9C-101B-9397-08002B2CF9AE}" pid="4" name="KSOProductBuildVer">
    <vt:lpwstr>2052-12.1.23540.23540</vt:lpwstr>
  </property>
  <property fmtid="{D5CDD505-2E9C-101B-9397-08002B2CF9AE}" pid="5" name="ICV">
    <vt:lpwstr>F1EB8E963E8BD2655D0D3169ABE847F4_42</vt:lpwstr>
  </property>
</Properties>
</file>